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A38" w:rsidRPr="002F42D0" w:rsidRDefault="00B80A38" w:rsidP="007617AF">
      <w:pPr>
        <w:jc w:val="center"/>
        <w:rPr>
          <w:rFonts w:cstheme="minorHAnsi"/>
          <w:b/>
        </w:rPr>
      </w:pPr>
      <w:r>
        <w:rPr>
          <w:rFonts w:cstheme="minorHAnsi"/>
          <w:b/>
        </w:rPr>
        <w:t>T</w:t>
      </w:r>
      <w:r w:rsidRPr="002F42D0">
        <w:rPr>
          <w:rFonts w:cstheme="minorHAnsi"/>
          <w:b/>
        </w:rPr>
        <w:t xml:space="preserve">his paper is </w:t>
      </w:r>
      <w:r>
        <w:rPr>
          <w:rFonts w:cstheme="minorHAnsi"/>
          <w:b/>
        </w:rPr>
        <w:t>for discussion</w:t>
      </w:r>
      <w:r w:rsidRPr="002F42D0">
        <w:rPr>
          <w:rFonts w:cstheme="minorHAnsi"/>
          <w:b/>
        </w:rPr>
        <w:t xml:space="preserve"> and </w:t>
      </w:r>
      <w:r>
        <w:rPr>
          <w:rFonts w:cstheme="minorHAnsi"/>
          <w:b/>
        </w:rPr>
        <w:t>does</w:t>
      </w:r>
      <w:r w:rsidRPr="002F42D0">
        <w:rPr>
          <w:rFonts w:cstheme="minorHAnsi"/>
          <w:b/>
        </w:rPr>
        <w:t xml:space="preserve"> not </w:t>
      </w:r>
      <w:r>
        <w:rPr>
          <w:rFonts w:cstheme="minorHAnsi"/>
          <w:b/>
        </w:rPr>
        <w:t xml:space="preserve">represent </w:t>
      </w:r>
      <w:r w:rsidRPr="002F42D0">
        <w:rPr>
          <w:rFonts w:cstheme="minorHAnsi"/>
          <w:b/>
        </w:rPr>
        <w:t>government policy or policy intent</w:t>
      </w:r>
    </w:p>
    <w:p w:rsidR="00B80A38" w:rsidRPr="008858B3" w:rsidRDefault="00FF40B4" w:rsidP="00A87F0F">
      <w:pPr>
        <w:pStyle w:val="Heading1"/>
        <w:spacing w:before="0"/>
        <w:jc w:val="center"/>
      </w:pPr>
      <w:proofErr w:type="spellStart"/>
      <w:r>
        <w:t>Off</w:t>
      </w:r>
      <w:r w:rsidRPr="008858B3">
        <w:t>taker</w:t>
      </w:r>
      <w:proofErr w:type="spellEnd"/>
      <w:r w:rsidRPr="008858B3">
        <w:t xml:space="preserve"> </w:t>
      </w:r>
      <w:r>
        <w:t>o</w:t>
      </w:r>
      <w:r w:rsidRPr="008858B3">
        <w:t xml:space="preserve">f Last Resort Advisory </w:t>
      </w:r>
      <w:r>
        <w:t>Group Discussion</w:t>
      </w:r>
      <w:r w:rsidRPr="008858B3">
        <w:t xml:space="preserve"> Paper </w:t>
      </w:r>
      <w:r w:rsidR="0068630B">
        <w:t>3.1</w:t>
      </w:r>
      <w:r w:rsidRPr="008858B3">
        <w:t xml:space="preserve">: </w:t>
      </w:r>
      <w:r>
        <w:br/>
      </w:r>
      <w:r w:rsidR="00465D25" w:rsidRPr="00A87F0F">
        <w:rPr>
          <w:caps/>
        </w:rPr>
        <w:t>Timing of Access</w:t>
      </w:r>
    </w:p>
    <w:p w:rsidR="00083F25" w:rsidRDefault="00083F25" w:rsidP="005727D6">
      <w:pPr>
        <w:pStyle w:val="Heading1"/>
      </w:pPr>
      <w:r>
        <w:t>Overview</w:t>
      </w:r>
    </w:p>
    <w:p w:rsidR="0075153E" w:rsidRDefault="00083D29" w:rsidP="00A666A3">
      <w:pPr>
        <w:pBdr>
          <w:top w:val="single" w:sz="4" w:space="1" w:color="auto"/>
          <w:left w:val="single" w:sz="4" w:space="4" w:color="auto"/>
          <w:bottom w:val="single" w:sz="4" w:space="1" w:color="auto"/>
          <w:right w:val="single" w:sz="4" w:space="4" w:color="auto"/>
        </w:pBdr>
        <w:spacing w:after="0"/>
        <w:rPr>
          <w:b/>
          <w:color w:val="000000" w:themeColor="text1"/>
        </w:rPr>
      </w:pPr>
      <w:r w:rsidRPr="00083D29">
        <w:rPr>
          <w:b/>
          <w:color w:val="000000" w:themeColor="text1"/>
        </w:rPr>
        <w:t>Headlines</w:t>
      </w:r>
      <w:r w:rsidR="00083F25" w:rsidRPr="00083D29">
        <w:rPr>
          <w:b/>
          <w:color w:val="000000" w:themeColor="text1"/>
        </w:rPr>
        <w:t>:</w:t>
      </w:r>
    </w:p>
    <w:p w:rsidR="00FF40B4" w:rsidRDefault="00FF40B4" w:rsidP="00FF40B4">
      <w:pPr>
        <w:pStyle w:val="ListParagraph"/>
        <w:numPr>
          <w:ilvl w:val="0"/>
          <w:numId w:val="26"/>
        </w:numPr>
        <w:pBdr>
          <w:top w:val="single" w:sz="4" w:space="1" w:color="auto"/>
          <w:left w:val="single" w:sz="4" w:space="4" w:color="auto"/>
          <w:bottom w:val="single" w:sz="4" w:space="1" w:color="auto"/>
          <w:right w:val="single" w:sz="4" w:space="4" w:color="auto"/>
        </w:pBdr>
        <w:spacing w:after="0"/>
        <w:rPr>
          <w:color w:val="000000" w:themeColor="text1"/>
        </w:rPr>
      </w:pPr>
      <w:r w:rsidRPr="00FF40B4">
        <w:rPr>
          <w:color w:val="000000" w:themeColor="text1"/>
        </w:rPr>
        <w:t>We are progressing with the OLR policy design as quickly as possible</w:t>
      </w:r>
      <w:r w:rsidR="000A3A1B">
        <w:rPr>
          <w:color w:val="000000" w:themeColor="text1"/>
        </w:rPr>
        <w:t>; t</w:t>
      </w:r>
      <w:r w:rsidRPr="00FF40B4">
        <w:rPr>
          <w:color w:val="000000" w:themeColor="text1"/>
        </w:rPr>
        <w:t xml:space="preserve">he intention is for </w:t>
      </w:r>
      <w:r>
        <w:rPr>
          <w:color w:val="000000" w:themeColor="text1"/>
        </w:rPr>
        <w:t xml:space="preserve">the </w:t>
      </w:r>
      <w:r w:rsidRPr="00FF40B4">
        <w:rPr>
          <w:color w:val="000000" w:themeColor="text1"/>
        </w:rPr>
        <w:t xml:space="preserve">OLR </w:t>
      </w:r>
      <w:r w:rsidR="006D60D4">
        <w:rPr>
          <w:color w:val="000000" w:themeColor="text1"/>
        </w:rPr>
        <w:t>secondary legislation</w:t>
      </w:r>
      <w:r w:rsidR="006D60D4" w:rsidRPr="00FF40B4">
        <w:rPr>
          <w:color w:val="000000" w:themeColor="text1"/>
        </w:rPr>
        <w:t xml:space="preserve"> </w:t>
      </w:r>
      <w:r w:rsidRPr="00FF40B4">
        <w:rPr>
          <w:color w:val="000000" w:themeColor="text1"/>
        </w:rPr>
        <w:t>to come into force around the time the first CfDs are allocated in autumn 2014.</w:t>
      </w:r>
      <w:r>
        <w:rPr>
          <w:color w:val="000000" w:themeColor="text1"/>
        </w:rPr>
        <w:t xml:space="preserve"> W</w:t>
      </w:r>
      <w:r w:rsidRPr="00FF40B4">
        <w:rPr>
          <w:color w:val="000000" w:themeColor="text1"/>
        </w:rPr>
        <w:t xml:space="preserve">e </w:t>
      </w:r>
      <w:r w:rsidR="003A7B6A">
        <w:rPr>
          <w:color w:val="000000" w:themeColor="text1"/>
        </w:rPr>
        <w:t>aim</w:t>
      </w:r>
      <w:r>
        <w:rPr>
          <w:color w:val="000000" w:themeColor="text1"/>
        </w:rPr>
        <w:t xml:space="preserve"> to publish the </w:t>
      </w:r>
      <w:r w:rsidR="006D60D4">
        <w:rPr>
          <w:color w:val="000000" w:themeColor="text1"/>
        </w:rPr>
        <w:t>draft secondary legislation</w:t>
      </w:r>
      <w:r>
        <w:rPr>
          <w:color w:val="000000" w:themeColor="text1"/>
        </w:rPr>
        <w:t xml:space="preserve"> </w:t>
      </w:r>
      <w:r w:rsidRPr="00FF40B4">
        <w:rPr>
          <w:color w:val="000000" w:themeColor="text1"/>
        </w:rPr>
        <w:t xml:space="preserve">in advance of the first CfDs being </w:t>
      </w:r>
      <w:r w:rsidR="000A3A1B">
        <w:rPr>
          <w:color w:val="000000" w:themeColor="text1"/>
        </w:rPr>
        <w:t>awarded</w:t>
      </w:r>
      <w:r w:rsidR="003A7B6A">
        <w:rPr>
          <w:color w:val="000000" w:themeColor="text1"/>
        </w:rPr>
        <w:t xml:space="preserve">, and </w:t>
      </w:r>
      <w:r w:rsidRPr="00FF40B4">
        <w:rPr>
          <w:color w:val="000000" w:themeColor="text1"/>
        </w:rPr>
        <w:t xml:space="preserve">propose that any generators signing CfDs before </w:t>
      </w:r>
      <w:r w:rsidR="001B1D5E">
        <w:rPr>
          <w:color w:val="000000" w:themeColor="text1"/>
        </w:rPr>
        <w:t>legislation</w:t>
      </w:r>
      <w:r w:rsidR="000A3A1B">
        <w:rPr>
          <w:color w:val="000000" w:themeColor="text1"/>
        </w:rPr>
        <w:t xml:space="preserve"> come</w:t>
      </w:r>
      <w:r w:rsidR="001B1D5E">
        <w:rPr>
          <w:color w:val="000000" w:themeColor="text1"/>
        </w:rPr>
        <w:t>s</w:t>
      </w:r>
      <w:r w:rsidRPr="00FF40B4">
        <w:rPr>
          <w:color w:val="000000" w:themeColor="text1"/>
        </w:rPr>
        <w:t xml:space="preserve"> into force would be entitled to the OLR on the terms set out </w:t>
      </w:r>
      <w:r w:rsidR="000A3A1B">
        <w:rPr>
          <w:color w:val="000000" w:themeColor="text1"/>
        </w:rPr>
        <w:t>with</w:t>
      </w:r>
      <w:r w:rsidRPr="00FF40B4">
        <w:rPr>
          <w:color w:val="000000" w:themeColor="text1"/>
        </w:rPr>
        <w:t>in those regulations.</w:t>
      </w:r>
    </w:p>
    <w:p w:rsidR="007D4CDE" w:rsidRPr="00274D4D" w:rsidRDefault="003A7B6A" w:rsidP="007D4CDE">
      <w:pPr>
        <w:pStyle w:val="ListParagraph"/>
        <w:numPr>
          <w:ilvl w:val="0"/>
          <w:numId w:val="26"/>
        </w:numPr>
        <w:pBdr>
          <w:top w:val="single" w:sz="4" w:space="1" w:color="auto"/>
          <w:left w:val="single" w:sz="4" w:space="4" w:color="auto"/>
          <w:bottom w:val="single" w:sz="4" w:space="1" w:color="auto"/>
          <w:right w:val="single" w:sz="4" w:space="4" w:color="auto"/>
        </w:pBdr>
        <w:spacing w:after="0"/>
        <w:rPr>
          <w:b/>
          <w:color w:val="000000" w:themeColor="text1"/>
        </w:rPr>
      </w:pPr>
      <w:r>
        <w:rPr>
          <w:color w:val="000000" w:themeColor="text1"/>
        </w:rPr>
        <w:t>A</w:t>
      </w:r>
      <w:r w:rsidR="00FF40B4" w:rsidRPr="00A87F0F">
        <w:rPr>
          <w:color w:val="000000" w:themeColor="text1"/>
        </w:rPr>
        <w:t xml:space="preserve">dditional time </w:t>
      </w:r>
      <w:r w:rsidR="00FB06D3">
        <w:rPr>
          <w:color w:val="000000" w:themeColor="text1"/>
        </w:rPr>
        <w:t>may</w:t>
      </w:r>
      <w:r w:rsidR="00FB06D3" w:rsidRPr="00A87F0F">
        <w:rPr>
          <w:color w:val="000000" w:themeColor="text1"/>
        </w:rPr>
        <w:t xml:space="preserve"> </w:t>
      </w:r>
      <w:r w:rsidR="00FF40B4" w:rsidRPr="00A87F0F">
        <w:rPr>
          <w:color w:val="000000" w:themeColor="text1"/>
        </w:rPr>
        <w:t xml:space="preserve">be required </w:t>
      </w:r>
      <w:r w:rsidR="00FB06D3">
        <w:rPr>
          <w:color w:val="000000" w:themeColor="text1"/>
        </w:rPr>
        <w:t>after</w:t>
      </w:r>
      <w:r w:rsidR="00FB06D3" w:rsidRPr="00A87F0F">
        <w:rPr>
          <w:color w:val="000000" w:themeColor="text1"/>
        </w:rPr>
        <w:t xml:space="preserve"> </w:t>
      </w:r>
      <w:r w:rsidR="001B1D5E">
        <w:rPr>
          <w:color w:val="000000" w:themeColor="text1"/>
        </w:rPr>
        <w:t>secondary legislation</w:t>
      </w:r>
      <w:r w:rsidR="00FF40B4" w:rsidRPr="00A87F0F">
        <w:rPr>
          <w:color w:val="000000" w:themeColor="text1"/>
        </w:rPr>
        <w:t xml:space="preserve"> </w:t>
      </w:r>
      <w:r w:rsidR="00FB06D3">
        <w:rPr>
          <w:color w:val="000000" w:themeColor="text1"/>
        </w:rPr>
        <w:t>come</w:t>
      </w:r>
      <w:r w:rsidR="001B1D5E">
        <w:rPr>
          <w:color w:val="000000" w:themeColor="text1"/>
        </w:rPr>
        <w:t>s</w:t>
      </w:r>
      <w:r w:rsidR="00FB06D3">
        <w:rPr>
          <w:color w:val="000000" w:themeColor="text1"/>
        </w:rPr>
        <w:t xml:space="preserve"> into</w:t>
      </w:r>
      <w:r w:rsidR="00FF40B4" w:rsidRPr="00A87F0F">
        <w:rPr>
          <w:color w:val="000000" w:themeColor="text1"/>
        </w:rPr>
        <w:t xml:space="preserve"> force </w:t>
      </w:r>
      <w:r w:rsidR="00FB06D3">
        <w:rPr>
          <w:color w:val="000000" w:themeColor="text1"/>
        </w:rPr>
        <w:t xml:space="preserve">for </w:t>
      </w:r>
      <w:proofErr w:type="spellStart"/>
      <w:r w:rsidR="00FB06D3">
        <w:rPr>
          <w:color w:val="000000" w:themeColor="text1"/>
        </w:rPr>
        <w:t>Ofgem</w:t>
      </w:r>
      <w:proofErr w:type="spellEnd"/>
      <w:r w:rsidR="00FB06D3">
        <w:rPr>
          <w:color w:val="000000" w:themeColor="text1"/>
        </w:rPr>
        <w:t xml:space="preserve"> </w:t>
      </w:r>
      <w:r w:rsidR="00FF40B4" w:rsidRPr="00A87F0F">
        <w:rPr>
          <w:color w:val="000000" w:themeColor="text1"/>
        </w:rPr>
        <w:t xml:space="preserve">to put in place </w:t>
      </w:r>
      <w:r w:rsidR="001B1D5E">
        <w:rPr>
          <w:color w:val="000000" w:themeColor="text1"/>
        </w:rPr>
        <w:t xml:space="preserve">systems to administer </w:t>
      </w:r>
      <w:r>
        <w:rPr>
          <w:color w:val="000000" w:themeColor="text1"/>
        </w:rPr>
        <w:t>the OLR</w:t>
      </w:r>
      <w:r w:rsidR="00FF40B4" w:rsidRPr="00A87F0F">
        <w:rPr>
          <w:color w:val="000000" w:themeColor="text1"/>
        </w:rPr>
        <w:t>.</w:t>
      </w:r>
      <w:r w:rsidR="007D4CDE">
        <w:rPr>
          <w:color w:val="000000" w:themeColor="text1"/>
        </w:rPr>
        <w:t xml:space="preserve"> </w:t>
      </w:r>
      <w:r w:rsidR="00FB06D3">
        <w:rPr>
          <w:color w:val="000000" w:themeColor="text1"/>
        </w:rPr>
        <w:t xml:space="preserve">However, this should not impact on generators </w:t>
      </w:r>
      <w:r w:rsidR="007D4CDE">
        <w:rPr>
          <w:color w:val="000000" w:themeColor="text1"/>
        </w:rPr>
        <w:t>since they</w:t>
      </w:r>
      <w:r w:rsidR="00FB06D3">
        <w:rPr>
          <w:color w:val="000000" w:themeColor="text1"/>
        </w:rPr>
        <w:t xml:space="preserve"> are unlikely to </w:t>
      </w:r>
      <w:r w:rsidR="007D4CDE">
        <w:rPr>
          <w:color w:val="000000" w:themeColor="text1"/>
        </w:rPr>
        <w:t xml:space="preserve">commission for </w:t>
      </w:r>
      <w:r w:rsidR="00FB06D3">
        <w:rPr>
          <w:color w:val="000000" w:themeColor="text1"/>
        </w:rPr>
        <w:t xml:space="preserve">several months </w:t>
      </w:r>
      <w:r w:rsidR="00067126">
        <w:rPr>
          <w:color w:val="000000" w:themeColor="text1"/>
        </w:rPr>
        <w:t xml:space="preserve">(at least) </w:t>
      </w:r>
      <w:r w:rsidR="00FB06D3">
        <w:rPr>
          <w:color w:val="000000" w:themeColor="text1"/>
        </w:rPr>
        <w:t xml:space="preserve">after </w:t>
      </w:r>
      <w:r w:rsidR="007D4CDE">
        <w:rPr>
          <w:color w:val="000000" w:themeColor="text1"/>
        </w:rPr>
        <w:t>signing</w:t>
      </w:r>
      <w:r w:rsidR="00FB06D3">
        <w:rPr>
          <w:color w:val="000000" w:themeColor="text1"/>
        </w:rPr>
        <w:t xml:space="preserve"> a CfD.  </w:t>
      </w:r>
    </w:p>
    <w:p w:rsidR="008954DB" w:rsidRPr="00260D1A" w:rsidRDefault="007D4CDE" w:rsidP="007D4CDE">
      <w:pPr>
        <w:pStyle w:val="ListParagraph"/>
        <w:numPr>
          <w:ilvl w:val="0"/>
          <w:numId w:val="26"/>
        </w:numPr>
        <w:pBdr>
          <w:top w:val="single" w:sz="4" w:space="1" w:color="auto"/>
          <w:left w:val="single" w:sz="4" w:space="4" w:color="auto"/>
          <w:bottom w:val="single" w:sz="4" w:space="1" w:color="auto"/>
          <w:right w:val="single" w:sz="4" w:space="4" w:color="auto"/>
        </w:pBdr>
        <w:spacing w:after="0"/>
        <w:rPr>
          <w:b/>
          <w:color w:val="000000" w:themeColor="text1"/>
        </w:rPr>
      </w:pPr>
      <w:r>
        <w:rPr>
          <w:color w:val="000000" w:themeColor="text1"/>
        </w:rPr>
        <w:t>W</w:t>
      </w:r>
      <w:r w:rsidR="003A7B6A" w:rsidRPr="00260D1A">
        <w:rPr>
          <w:color w:val="000000" w:themeColor="text1"/>
        </w:rPr>
        <w:t xml:space="preserve">e are considering whether </w:t>
      </w:r>
      <w:r w:rsidR="000A3A1B">
        <w:rPr>
          <w:color w:val="000000" w:themeColor="text1"/>
        </w:rPr>
        <w:t>there should be a period after a</w:t>
      </w:r>
      <w:r w:rsidR="003A7B6A" w:rsidRPr="00260D1A">
        <w:rPr>
          <w:color w:val="000000" w:themeColor="text1"/>
        </w:rPr>
        <w:t>n eligible project</w:t>
      </w:r>
      <w:r w:rsidR="000A3A1B">
        <w:rPr>
          <w:color w:val="000000" w:themeColor="text1"/>
        </w:rPr>
        <w:t>’s CfD commences before it can</w:t>
      </w:r>
      <w:r w:rsidR="00260D1A" w:rsidRPr="00260D1A">
        <w:rPr>
          <w:color w:val="000000" w:themeColor="text1"/>
        </w:rPr>
        <w:t xml:space="preserve"> </w:t>
      </w:r>
      <w:r w:rsidR="00260D1A" w:rsidRPr="00BB3C24">
        <w:rPr>
          <w:color w:val="000000" w:themeColor="text1"/>
        </w:rPr>
        <w:t xml:space="preserve">access a Backstop PPA.  </w:t>
      </w:r>
      <w:r w:rsidR="008954DB" w:rsidRPr="00A87F0F">
        <w:rPr>
          <w:color w:val="000000" w:themeColor="text1"/>
        </w:rPr>
        <w:t xml:space="preserve">Arguments </w:t>
      </w:r>
      <w:r w:rsidR="000A3A1B">
        <w:rPr>
          <w:color w:val="000000" w:themeColor="text1"/>
        </w:rPr>
        <w:t>in favour of such a</w:t>
      </w:r>
      <w:r w:rsidR="00BD635F" w:rsidRPr="00A87F0F">
        <w:rPr>
          <w:color w:val="000000" w:themeColor="text1"/>
        </w:rPr>
        <w:t xml:space="preserve"> </w:t>
      </w:r>
      <w:r w:rsidR="00BD635F" w:rsidRPr="00274D4D">
        <w:rPr>
          <w:color w:val="000000" w:themeColor="text1"/>
        </w:rPr>
        <w:t>delay</w:t>
      </w:r>
      <w:r w:rsidR="000A3A1B">
        <w:rPr>
          <w:i/>
          <w:color w:val="000000" w:themeColor="text1"/>
        </w:rPr>
        <w:t xml:space="preserve"> </w:t>
      </w:r>
      <w:r w:rsidR="000A3A1B">
        <w:rPr>
          <w:color w:val="000000" w:themeColor="text1"/>
        </w:rPr>
        <w:t xml:space="preserve">to </w:t>
      </w:r>
      <w:r w:rsidR="00BD635F" w:rsidRPr="00A87F0F">
        <w:rPr>
          <w:color w:val="000000" w:themeColor="text1"/>
        </w:rPr>
        <w:t>access</w:t>
      </w:r>
      <w:r>
        <w:rPr>
          <w:color w:val="000000" w:themeColor="text1"/>
        </w:rPr>
        <w:t>ing</w:t>
      </w:r>
      <w:r w:rsidR="00BD635F" w:rsidRPr="00A87F0F">
        <w:rPr>
          <w:color w:val="000000" w:themeColor="text1"/>
        </w:rPr>
        <w:t xml:space="preserve"> </w:t>
      </w:r>
      <w:r w:rsidR="000A3A1B">
        <w:rPr>
          <w:color w:val="000000" w:themeColor="text1"/>
        </w:rPr>
        <w:t>Backstop PPAs</w:t>
      </w:r>
      <w:r w:rsidR="008954DB" w:rsidRPr="00A87F0F">
        <w:rPr>
          <w:color w:val="000000" w:themeColor="text1"/>
        </w:rPr>
        <w:t xml:space="preserve"> include:</w:t>
      </w:r>
    </w:p>
    <w:p w:rsidR="008954DB" w:rsidRPr="00DF2046" w:rsidRDefault="00DF2046" w:rsidP="000A3A1B">
      <w:pPr>
        <w:pBdr>
          <w:top w:val="single" w:sz="4" w:space="1" w:color="auto"/>
          <w:left w:val="single" w:sz="4" w:space="4" w:color="auto"/>
          <w:bottom w:val="single" w:sz="4" w:space="1" w:color="auto"/>
          <w:right w:val="single" w:sz="4" w:space="4" w:color="auto"/>
        </w:pBdr>
        <w:tabs>
          <w:tab w:val="left" w:pos="426"/>
          <w:tab w:val="left" w:pos="709"/>
        </w:tabs>
        <w:spacing w:after="0"/>
        <w:ind w:left="709" w:hanging="709"/>
        <w:rPr>
          <w:color w:val="000000" w:themeColor="text1"/>
        </w:rPr>
      </w:pPr>
      <w:r>
        <w:rPr>
          <w:color w:val="000000" w:themeColor="text1"/>
        </w:rPr>
        <w:tab/>
      </w:r>
      <w:r>
        <w:rPr>
          <w:rFonts w:cstheme="minorHAnsi"/>
          <w:color w:val="000000" w:themeColor="text1"/>
        </w:rPr>
        <w:t>○</w:t>
      </w:r>
      <w:r>
        <w:rPr>
          <w:color w:val="000000" w:themeColor="text1"/>
        </w:rPr>
        <w:tab/>
      </w:r>
      <w:r>
        <w:rPr>
          <w:color w:val="000000" w:themeColor="text1"/>
        </w:rPr>
        <w:tab/>
      </w:r>
      <w:r w:rsidR="008954DB" w:rsidRPr="00DF2046">
        <w:rPr>
          <w:color w:val="000000" w:themeColor="text1"/>
        </w:rPr>
        <w:t xml:space="preserve">Imbalance and route to market costs are much more predictable in the near-term, so there is less need to provide protection against unforeseen costs </w:t>
      </w:r>
      <w:r w:rsidR="00260D1A">
        <w:rPr>
          <w:color w:val="000000" w:themeColor="text1"/>
        </w:rPr>
        <w:t>during</w:t>
      </w:r>
      <w:r w:rsidR="00260D1A" w:rsidRPr="00DF2046">
        <w:rPr>
          <w:color w:val="000000" w:themeColor="text1"/>
        </w:rPr>
        <w:t xml:space="preserve"> </w:t>
      </w:r>
      <w:r w:rsidR="008954DB" w:rsidRPr="00DF2046">
        <w:rPr>
          <w:color w:val="000000" w:themeColor="text1"/>
        </w:rPr>
        <w:t>this period</w:t>
      </w:r>
      <w:r w:rsidR="00BD635F" w:rsidRPr="00DF2046">
        <w:rPr>
          <w:color w:val="000000" w:themeColor="text1"/>
        </w:rPr>
        <w:t>.</w:t>
      </w:r>
    </w:p>
    <w:p w:rsidR="008954DB" w:rsidRPr="00DF2046" w:rsidRDefault="00DF2046" w:rsidP="000A3A1B">
      <w:pPr>
        <w:pBdr>
          <w:top w:val="single" w:sz="4" w:space="1" w:color="auto"/>
          <w:left w:val="single" w:sz="4" w:space="4" w:color="auto"/>
          <w:bottom w:val="single" w:sz="4" w:space="1" w:color="auto"/>
          <w:right w:val="single" w:sz="4" w:space="4" w:color="auto"/>
        </w:pBdr>
        <w:tabs>
          <w:tab w:val="left" w:pos="426"/>
          <w:tab w:val="left" w:pos="709"/>
        </w:tabs>
        <w:spacing w:after="0"/>
        <w:ind w:left="709" w:hanging="709"/>
        <w:rPr>
          <w:color w:val="000000" w:themeColor="text1"/>
        </w:rPr>
      </w:pPr>
      <w:r>
        <w:rPr>
          <w:color w:val="000000" w:themeColor="text1"/>
        </w:rPr>
        <w:tab/>
      </w:r>
      <w:r>
        <w:rPr>
          <w:rFonts w:cstheme="minorHAnsi"/>
          <w:color w:val="000000" w:themeColor="text1"/>
        </w:rPr>
        <w:t>○</w:t>
      </w:r>
      <w:r>
        <w:rPr>
          <w:color w:val="000000" w:themeColor="text1"/>
        </w:rPr>
        <w:tab/>
      </w:r>
      <w:proofErr w:type="gramStart"/>
      <w:r w:rsidR="008954DB" w:rsidRPr="00DF2046">
        <w:rPr>
          <w:color w:val="000000" w:themeColor="text1"/>
        </w:rPr>
        <w:t>The</w:t>
      </w:r>
      <w:proofErr w:type="gramEnd"/>
      <w:r w:rsidR="008954DB" w:rsidRPr="00DF2046">
        <w:rPr>
          <w:color w:val="000000" w:themeColor="text1"/>
        </w:rPr>
        <w:t xml:space="preserve"> short-term PPA market is more liquid, so it should be easier for generators to get PPAs at reasonable discounts</w:t>
      </w:r>
      <w:r w:rsidR="00260D1A">
        <w:rPr>
          <w:color w:val="000000" w:themeColor="text1"/>
        </w:rPr>
        <w:t xml:space="preserve"> during this period</w:t>
      </w:r>
      <w:r w:rsidR="008954DB" w:rsidRPr="00DF2046">
        <w:rPr>
          <w:color w:val="000000" w:themeColor="text1"/>
        </w:rPr>
        <w:t>.</w:t>
      </w:r>
    </w:p>
    <w:p w:rsidR="00E3280C" w:rsidRDefault="00DF2046" w:rsidP="00E3280C">
      <w:pPr>
        <w:pBdr>
          <w:top w:val="single" w:sz="4" w:space="1" w:color="auto"/>
          <w:left w:val="single" w:sz="4" w:space="4" w:color="auto"/>
          <w:bottom w:val="single" w:sz="4" w:space="1" w:color="auto"/>
          <w:right w:val="single" w:sz="4" w:space="4" w:color="auto"/>
        </w:pBdr>
        <w:tabs>
          <w:tab w:val="left" w:pos="426"/>
          <w:tab w:val="left" w:pos="709"/>
        </w:tabs>
        <w:spacing w:after="0"/>
        <w:ind w:left="709" w:hanging="709"/>
        <w:rPr>
          <w:color w:val="000000" w:themeColor="text1"/>
        </w:rPr>
      </w:pPr>
      <w:r>
        <w:rPr>
          <w:color w:val="000000" w:themeColor="text1"/>
        </w:rPr>
        <w:tab/>
      </w:r>
      <w:r>
        <w:rPr>
          <w:rFonts w:cstheme="minorHAnsi"/>
          <w:color w:val="000000" w:themeColor="text1"/>
        </w:rPr>
        <w:t>○</w:t>
      </w:r>
      <w:r>
        <w:rPr>
          <w:color w:val="000000" w:themeColor="text1"/>
        </w:rPr>
        <w:tab/>
      </w:r>
      <w:r w:rsidR="00BD635F" w:rsidRPr="00DF2046">
        <w:rPr>
          <w:color w:val="000000" w:themeColor="text1"/>
        </w:rPr>
        <w:t xml:space="preserve">Lenders </w:t>
      </w:r>
      <w:r w:rsidR="00260D1A">
        <w:rPr>
          <w:color w:val="000000" w:themeColor="text1"/>
        </w:rPr>
        <w:t>may</w:t>
      </w:r>
      <w:r w:rsidR="00BD635F" w:rsidRPr="00DF2046">
        <w:rPr>
          <w:color w:val="000000" w:themeColor="text1"/>
        </w:rPr>
        <w:t xml:space="preserve"> require generators to have PPAs with a minimum initial tenor </w:t>
      </w:r>
      <w:r w:rsidR="006701EF">
        <w:rPr>
          <w:color w:val="000000" w:themeColor="text1"/>
        </w:rPr>
        <w:t xml:space="preserve">in order for them </w:t>
      </w:r>
      <w:r w:rsidR="00BD635F" w:rsidRPr="00DF2046">
        <w:rPr>
          <w:color w:val="000000" w:themeColor="text1"/>
        </w:rPr>
        <w:t>to release funds</w:t>
      </w:r>
      <w:r w:rsidR="006701EF">
        <w:rPr>
          <w:color w:val="000000" w:themeColor="text1"/>
        </w:rPr>
        <w:t>.  They</w:t>
      </w:r>
      <w:r w:rsidR="00BD635F" w:rsidRPr="00DF2046">
        <w:rPr>
          <w:color w:val="000000" w:themeColor="text1"/>
        </w:rPr>
        <w:t xml:space="preserve"> have </w:t>
      </w:r>
      <w:r w:rsidR="006701EF">
        <w:rPr>
          <w:color w:val="000000" w:themeColor="text1"/>
        </w:rPr>
        <w:t>suggested</w:t>
      </w:r>
      <w:r w:rsidR="006701EF" w:rsidRPr="00DF2046">
        <w:rPr>
          <w:color w:val="000000" w:themeColor="text1"/>
        </w:rPr>
        <w:t xml:space="preserve"> </w:t>
      </w:r>
      <w:r w:rsidR="00BD635F" w:rsidRPr="00DF2046">
        <w:rPr>
          <w:color w:val="000000" w:themeColor="text1"/>
        </w:rPr>
        <w:t>that access to the OLR during the term of this PPA would have little impact on their lending decision.</w:t>
      </w:r>
    </w:p>
    <w:p w:rsidR="008954DB" w:rsidRPr="007B7701" w:rsidRDefault="008954DB" w:rsidP="008954DB">
      <w:pPr>
        <w:pStyle w:val="ListParagraph"/>
        <w:numPr>
          <w:ilvl w:val="0"/>
          <w:numId w:val="26"/>
        </w:numPr>
        <w:pBdr>
          <w:top w:val="single" w:sz="4" w:space="1" w:color="auto"/>
          <w:left w:val="single" w:sz="4" w:space="4" w:color="auto"/>
          <w:bottom w:val="single" w:sz="4" w:space="1" w:color="auto"/>
          <w:right w:val="single" w:sz="4" w:space="4" w:color="auto"/>
        </w:pBdr>
        <w:spacing w:after="0"/>
        <w:rPr>
          <w:b/>
          <w:color w:val="000000" w:themeColor="text1"/>
        </w:rPr>
      </w:pPr>
      <w:r>
        <w:rPr>
          <w:color w:val="000000" w:themeColor="text1"/>
        </w:rPr>
        <w:t xml:space="preserve">Arguments </w:t>
      </w:r>
      <w:r w:rsidR="006701EF">
        <w:rPr>
          <w:color w:val="000000" w:themeColor="text1"/>
        </w:rPr>
        <w:t xml:space="preserve">in favour of </w:t>
      </w:r>
      <w:r w:rsidR="00BD635F">
        <w:rPr>
          <w:color w:val="000000" w:themeColor="text1"/>
        </w:rPr>
        <w:t>allowing generators to</w:t>
      </w:r>
      <w:r>
        <w:rPr>
          <w:color w:val="000000" w:themeColor="text1"/>
        </w:rPr>
        <w:t xml:space="preserve"> access </w:t>
      </w:r>
      <w:r w:rsidR="006701EF">
        <w:rPr>
          <w:color w:val="000000" w:themeColor="text1"/>
        </w:rPr>
        <w:t>Backstop PPAs</w:t>
      </w:r>
      <w:r w:rsidR="00BD635F">
        <w:rPr>
          <w:color w:val="000000" w:themeColor="text1"/>
        </w:rPr>
        <w:t xml:space="preserve"> </w:t>
      </w:r>
      <w:r w:rsidR="006701EF" w:rsidRPr="00A87F0F">
        <w:rPr>
          <w:i/>
          <w:color w:val="000000" w:themeColor="text1"/>
        </w:rPr>
        <w:t>immediately</w:t>
      </w:r>
      <w:r w:rsidR="006701EF">
        <w:rPr>
          <w:color w:val="000000" w:themeColor="text1"/>
        </w:rPr>
        <w:t xml:space="preserve"> (</w:t>
      </w:r>
      <w:r>
        <w:rPr>
          <w:color w:val="000000" w:themeColor="text1"/>
        </w:rPr>
        <w:t xml:space="preserve">from the point at which </w:t>
      </w:r>
      <w:r w:rsidR="006701EF">
        <w:rPr>
          <w:color w:val="000000" w:themeColor="text1"/>
        </w:rPr>
        <w:t xml:space="preserve">the project’s </w:t>
      </w:r>
      <w:r>
        <w:rPr>
          <w:color w:val="000000" w:themeColor="text1"/>
        </w:rPr>
        <w:t>CfD</w:t>
      </w:r>
      <w:r w:rsidR="006701EF">
        <w:rPr>
          <w:color w:val="000000" w:themeColor="text1"/>
        </w:rPr>
        <w:t xml:space="preserve"> commences)</w:t>
      </w:r>
      <w:r>
        <w:rPr>
          <w:color w:val="000000" w:themeColor="text1"/>
        </w:rPr>
        <w:t xml:space="preserve"> include:</w:t>
      </w:r>
    </w:p>
    <w:p w:rsidR="008954DB" w:rsidRPr="00DF2046" w:rsidRDefault="00DF2046" w:rsidP="00DF2046">
      <w:pPr>
        <w:pBdr>
          <w:top w:val="single" w:sz="4" w:space="1" w:color="auto"/>
          <w:left w:val="single" w:sz="4" w:space="4" w:color="auto"/>
          <w:bottom w:val="single" w:sz="4" w:space="1" w:color="auto"/>
          <w:right w:val="single" w:sz="4" w:space="4" w:color="auto"/>
        </w:pBdr>
        <w:tabs>
          <w:tab w:val="left" w:pos="709"/>
          <w:tab w:val="left" w:pos="993"/>
        </w:tabs>
        <w:spacing w:after="0"/>
        <w:ind w:left="993" w:hanging="993"/>
        <w:rPr>
          <w:color w:val="000000" w:themeColor="text1"/>
        </w:rPr>
      </w:pPr>
      <w:r>
        <w:rPr>
          <w:color w:val="000000" w:themeColor="text1"/>
        </w:rPr>
        <w:tab/>
      </w:r>
      <w:r>
        <w:rPr>
          <w:rFonts w:cstheme="minorHAnsi"/>
          <w:color w:val="000000" w:themeColor="text1"/>
        </w:rPr>
        <w:t>○</w:t>
      </w:r>
      <w:r>
        <w:rPr>
          <w:color w:val="000000" w:themeColor="text1"/>
        </w:rPr>
        <w:tab/>
      </w:r>
      <w:proofErr w:type="gramStart"/>
      <w:r w:rsidR="008954DB">
        <w:rPr>
          <w:color w:val="000000" w:themeColor="text1"/>
        </w:rPr>
        <w:t>The</w:t>
      </w:r>
      <w:proofErr w:type="gramEnd"/>
      <w:r w:rsidR="008954DB">
        <w:rPr>
          <w:color w:val="000000" w:themeColor="text1"/>
        </w:rPr>
        <w:t xml:space="preserve"> risk that generators will actually access the OLR</w:t>
      </w:r>
      <w:r w:rsidR="00E3280C">
        <w:rPr>
          <w:color w:val="000000" w:themeColor="text1"/>
        </w:rPr>
        <w:t xml:space="preserve"> from day one </w:t>
      </w:r>
      <w:r w:rsidR="001D3A83">
        <w:rPr>
          <w:color w:val="000000" w:themeColor="text1"/>
        </w:rPr>
        <w:t>is likely to</w:t>
      </w:r>
      <w:r w:rsidR="00E3280C">
        <w:rPr>
          <w:color w:val="000000" w:themeColor="text1"/>
        </w:rPr>
        <w:t xml:space="preserve"> be low</w:t>
      </w:r>
      <w:r w:rsidR="008954DB">
        <w:rPr>
          <w:color w:val="000000" w:themeColor="text1"/>
        </w:rPr>
        <w:t>, for the reasons given above, so there is little downside in offering it</w:t>
      </w:r>
    </w:p>
    <w:p w:rsidR="00BD635F" w:rsidRPr="00DF2046" w:rsidRDefault="00DF2046" w:rsidP="00DF2046">
      <w:pPr>
        <w:pBdr>
          <w:top w:val="single" w:sz="4" w:space="1" w:color="auto"/>
          <w:left w:val="single" w:sz="4" w:space="4" w:color="auto"/>
          <w:bottom w:val="single" w:sz="4" w:space="1" w:color="auto"/>
          <w:right w:val="single" w:sz="4" w:space="4" w:color="auto"/>
        </w:pBdr>
        <w:tabs>
          <w:tab w:val="left" w:pos="709"/>
          <w:tab w:val="left" w:pos="993"/>
        </w:tabs>
        <w:spacing w:after="0"/>
        <w:ind w:left="993" w:hanging="993"/>
        <w:rPr>
          <w:color w:val="000000" w:themeColor="text1"/>
        </w:rPr>
      </w:pPr>
      <w:r>
        <w:rPr>
          <w:color w:val="000000" w:themeColor="text1"/>
        </w:rPr>
        <w:tab/>
      </w:r>
      <w:r>
        <w:rPr>
          <w:rFonts w:cstheme="minorHAnsi"/>
          <w:color w:val="000000" w:themeColor="text1"/>
        </w:rPr>
        <w:t>○</w:t>
      </w:r>
      <w:r>
        <w:rPr>
          <w:color w:val="000000" w:themeColor="text1"/>
        </w:rPr>
        <w:tab/>
      </w:r>
      <w:proofErr w:type="gramStart"/>
      <w:r w:rsidR="006701EF">
        <w:rPr>
          <w:color w:val="000000" w:themeColor="text1"/>
        </w:rPr>
        <w:t>Immediate</w:t>
      </w:r>
      <w:proofErr w:type="gramEnd"/>
      <w:r w:rsidR="006701EF">
        <w:rPr>
          <w:color w:val="000000" w:themeColor="text1"/>
        </w:rPr>
        <w:t xml:space="preserve"> a</w:t>
      </w:r>
      <w:r w:rsidR="00BD635F">
        <w:rPr>
          <w:color w:val="000000" w:themeColor="text1"/>
        </w:rPr>
        <w:t xml:space="preserve">ccess to </w:t>
      </w:r>
      <w:r w:rsidR="006701EF">
        <w:rPr>
          <w:color w:val="000000" w:themeColor="text1"/>
        </w:rPr>
        <w:t>Backstop PPAs</w:t>
      </w:r>
      <w:r w:rsidR="00BD635F">
        <w:rPr>
          <w:color w:val="000000" w:themeColor="text1"/>
        </w:rPr>
        <w:t xml:space="preserve"> could give generators greater flexibility over their contracting strategies, potentially leading to more efficient outcomes</w:t>
      </w:r>
      <w:r w:rsidR="00753039">
        <w:rPr>
          <w:color w:val="000000" w:themeColor="text1"/>
        </w:rPr>
        <w:t xml:space="preserve">, whereas restricting access </w:t>
      </w:r>
      <w:r w:rsidR="00FE6127">
        <w:rPr>
          <w:color w:val="000000" w:themeColor="text1"/>
        </w:rPr>
        <w:t>could</w:t>
      </w:r>
      <w:r w:rsidR="00753039">
        <w:rPr>
          <w:color w:val="000000" w:themeColor="text1"/>
        </w:rPr>
        <w:t xml:space="preserve"> </w:t>
      </w:r>
      <w:r w:rsidR="00FE6127">
        <w:rPr>
          <w:color w:val="000000" w:themeColor="text1"/>
        </w:rPr>
        <w:t>see contracting strategies dictated by lenders to a greater extent.</w:t>
      </w:r>
    </w:p>
    <w:p w:rsidR="00E66DC9" w:rsidRPr="00DF2046" w:rsidRDefault="00E66DC9" w:rsidP="004B5956">
      <w:pPr>
        <w:pBdr>
          <w:top w:val="single" w:sz="4" w:space="1" w:color="auto"/>
          <w:left w:val="single" w:sz="4" w:space="4" w:color="auto"/>
          <w:bottom w:val="single" w:sz="4" w:space="1" w:color="auto"/>
          <w:right w:val="single" w:sz="4" w:space="4" w:color="auto"/>
        </w:pBdr>
        <w:tabs>
          <w:tab w:val="left" w:pos="709"/>
          <w:tab w:val="left" w:pos="993"/>
        </w:tabs>
        <w:spacing w:after="0"/>
        <w:rPr>
          <w:color w:val="000000" w:themeColor="text1"/>
        </w:rPr>
      </w:pPr>
    </w:p>
    <w:p w:rsidR="002F51B6" w:rsidRDefault="002F51B6" w:rsidP="009920CE">
      <w:pPr>
        <w:pBdr>
          <w:top w:val="single" w:sz="4" w:space="1" w:color="auto"/>
          <w:left w:val="single" w:sz="4" w:space="4" w:color="auto"/>
          <w:bottom w:val="single" w:sz="4" w:space="1" w:color="auto"/>
          <w:right w:val="single" w:sz="4" w:space="4" w:color="auto"/>
        </w:pBdr>
        <w:spacing w:after="0"/>
        <w:ind w:left="567" w:hanging="567"/>
        <w:rPr>
          <w:b/>
          <w:color w:val="000000" w:themeColor="text1"/>
        </w:rPr>
      </w:pPr>
      <w:r w:rsidRPr="00BB1ECD">
        <w:rPr>
          <w:b/>
          <w:color w:val="000000" w:themeColor="text1"/>
        </w:rPr>
        <w:t>Key Questions:</w:t>
      </w:r>
    </w:p>
    <w:p w:rsidR="006701EF" w:rsidRDefault="00630A30" w:rsidP="00E5119A">
      <w:pPr>
        <w:pBdr>
          <w:top w:val="single" w:sz="4" w:space="1" w:color="auto"/>
          <w:left w:val="single" w:sz="4" w:space="4" w:color="auto"/>
          <w:bottom w:val="single" w:sz="4" w:space="1" w:color="auto"/>
          <w:right w:val="single" w:sz="4" w:space="4" w:color="auto"/>
        </w:pBdr>
        <w:spacing w:after="80"/>
        <w:ind w:left="425" w:hanging="425"/>
        <w:rPr>
          <w:color w:val="000000" w:themeColor="text1"/>
        </w:rPr>
      </w:pPr>
      <w:r w:rsidRPr="00630A30">
        <w:rPr>
          <w:color w:val="000000" w:themeColor="text1"/>
        </w:rPr>
        <w:t xml:space="preserve">Q1: </w:t>
      </w:r>
      <w:r w:rsidRPr="00630A30">
        <w:rPr>
          <w:color w:val="000000" w:themeColor="text1"/>
        </w:rPr>
        <w:tab/>
      </w:r>
      <w:r w:rsidR="009F3E37">
        <w:t xml:space="preserve">Given construction lead-times, what would be the impact on generators if Backstop PPAs cannot be accessed for a period of time after the allocation of </w:t>
      </w:r>
      <w:r w:rsidR="009F3E37" w:rsidRPr="00274D4D">
        <w:t>CfDs</w:t>
      </w:r>
      <w:r w:rsidR="009F3E37">
        <w:t xml:space="preserve"> commences</w:t>
      </w:r>
      <w:r w:rsidR="009F3E37" w:rsidRPr="00274D4D">
        <w:t>?</w:t>
      </w:r>
    </w:p>
    <w:p w:rsidR="00E3280C" w:rsidRDefault="008F3F59" w:rsidP="00E3280C">
      <w:pPr>
        <w:pBdr>
          <w:top w:val="single" w:sz="4" w:space="1" w:color="auto"/>
          <w:left w:val="single" w:sz="4" w:space="4" w:color="auto"/>
          <w:bottom w:val="single" w:sz="4" w:space="1" w:color="auto"/>
          <w:right w:val="single" w:sz="4" w:space="4" w:color="auto"/>
        </w:pBdr>
        <w:spacing w:after="80"/>
        <w:ind w:left="425" w:hanging="425"/>
      </w:pPr>
      <w:r w:rsidRPr="008F3F59">
        <w:t>Q2:  Assuming that the backstop discount is set significantly below discounts in the open market, do the group agree that it is unlikely that a generator would want or need to access the OLR during the early years of output?</w:t>
      </w:r>
    </w:p>
    <w:p w:rsidR="006701EF" w:rsidRDefault="006701EF" w:rsidP="00E5119A">
      <w:pPr>
        <w:pBdr>
          <w:top w:val="single" w:sz="4" w:space="1" w:color="auto"/>
          <w:left w:val="single" w:sz="4" w:space="4" w:color="auto"/>
          <w:bottom w:val="single" w:sz="4" w:space="1" w:color="auto"/>
          <w:right w:val="single" w:sz="4" w:space="4" w:color="auto"/>
        </w:pBdr>
        <w:spacing w:after="80"/>
        <w:ind w:left="425" w:hanging="425"/>
      </w:pPr>
      <w:r>
        <w:t>Q</w:t>
      </w:r>
      <w:r w:rsidR="009F3E37">
        <w:t>3</w:t>
      </w:r>
      <w:r>
        <w:t>:  Do</w:t>
      </w:r>
      <w:r w:rsidR="00067126">
        <w:t>es</w:t>
      </w:r>
      <w:r>
        <w:t xml:space="preserve"> the group </w:t>
      </w:r>
      <w:r w:rsidR="00067126">
        <w:t xml:space="preserve">believe </w:t>
      </w:r>
      <w:r>
        <w:t xml:space="preserve">that there are </w:t>
      </w:r>
      <w:r w:rsidR="00067126">
        <w:t>any</w:t>
      </w:r>
      <w:r>
        <w:t xml:space="preserve"> significant risks to generators, offtakers or consumers of </w:t>
      </w:r>
      <w:r w:rsidR="000A3A1B">
        <w:t xml:space="preserve">allowing </w:t>
      </w:r>
      <w:r w:rsidR="00067126">
        <w:t xml:space="preserve">generators to </w:t>
      </w:r>
      <w:r w:rsidR="000A3A1B">
        <w:t>access Backstop PPAs</w:t>
      </w:r>
      <w:r w:rsidR="00067126">
        <w:t xml:space="preserve"> from the point at which their CfD starts</w:t>
      </w:r>
      <w:r>
        <w:t>?</w:t>
      </w:r>
    </w:p>
    <w:p w:rsidR="006701EF" w:rsidRDefault="006701EF" w:rsidP="00E5119A">
      <w:pPr>
        <w:pBdr>
          <w:top w:val="single" w:sz="4" w:space="1" w:color="auto"/>
          <w:left w:val="single" w:sz="4" w:space="4" w:color="auto"/>
          <w:bottom w:val="single" w:sz="4" w:space="1" w:color="auto"/>
          <w:right w:val="single" w:sz="4" w:space="4" w:color="auto"/>
        </w:pBdr>
        <w:tabs>
          <w:tab w:val="left" w:pos="1985"/>
        </w:tabs>
        <w:spacing w:after="80"/>
        <w:ind w:left="425" w:hanging="425"/>
      </w:pPr>
      <w:r>
        <w:t>Q</w:t>
      </w:r>
      <w:r w:rsidR="009F3E37">
        <w:t>4</w:t>
      </w:r>
      <w:r>
        <w:t>:  Does the group think there are potential benefits from allowing generators access to Backstop PPAs from the point at which their CfD starts?</w:t>
      </w:r>
    </w:p>
    <w:p w:rsidR="00DD69F1" w:rsidRDefault="00083F25" w:rsidP="005727D6">
      <w:pPr>
        <w:pStyle w:val="Heading1"/>
      </w:pPr>
      <w:r>
        <w:lastRenderedPageBreak/>
        <w:t>Introduction</w:t>
      </w:r>
    </w:p>
    <w:p w:rsidR="00EE723C" w:rsidRDefault="00793F9A" w:rsidP="00A87F0F">
      <w:pPr>
        <w:spacing w:after="120"/>
        <w:rPr>
          <w:rFonts w:asciiTheme="majorHAnsi" w:eastAsiaTheme="majorEastAsia" w:hAnsiTheme="majorHAnsi" w:cstheme="majorBidi"/>
          <w:b/>
          <w:bCs/>
          <w:color w:val="4F81BD" w:themeColor="accent1"/>
        </w:rPr>
      </w:pPr>
      <w:r>
        <w:t>This paper sets out the likely timetable for OLR implementation, acknowledging that the systems required to allocate Backstop PPAs might not be up and running by the time the first CfD</w:t>
      </w:r>
      <w:r w:rsidR="0075341B">
        <w:t>s are si</w:t>
      </w:r>
      <w:r>
        <w:t>g</w:t>
      </w:r>
      <w:r w:rsidR="0075341B">
        <w:t>n</w:t>
      </w:r>
      <w:r>
        <w:t>ed.  Since r</w:t>
      </w:r>
      <w:r w:rsidR="00BC2239">
        <w:t>oute to market costs are more predictable in the near term, and t</w:t>
      </w:r>
      <w:r w:rsidR="00EE723C">
        <w:t xml:space="preserve">he </w:t>
      </w:r>
      <w:r w:rsidR="00BC2239">
        <w:t>discount available through the OLR is likely to be least attractive during early years of generation</w:t>
      </w:r>
      <w:r>
        <w:t xml:space="preserve">, the paper also </w:t>
      </w:r>
      <w:r w:rsidR="002B5CAE">
        <w:t xml:space="preserve">considers whether there </w:t>
      </w:r>
      <w:r w:rsidR="006B29FF" w:rsidRPr="006B29FF">
        <w:t>should be a period after an eligible project’s CfD commences before it can access a Backstop PPA</w:t>
      </w:r>
      <w:r w:rsidR="002B5CAE">
        <w:t>.</w:t>
      </w:r>
      <w:r w:rsidR="00422A06">
        <w:t xml:space="preserve"> </w:t>
      </w:r>
    </w:p>
    <w:p w:rsidR="007617AF" w:rsidRDefault="001A1F30" w:rsidP="005727D6">
      <w:pPr>
        <w:pStyle w:val="Heading1"/>
      </w:pPr>
      <w:r w:rsidRPr="00F42319">
        <w:t>Assessment Criteria</w:t>
      </w:r>
    </w:p>
    <w:p w:rsidR="007617AF" w:rsidRDefault="007617AF" w:rsidP="0096710D">
      <w:r>
        <w:t xml:space="preserve">The </w:t>
      </w:r>
      <w:r w:rsidRPr="0096710D">
        <w:rPr>
          <w:rFonts w:cstheme="minorHAnsi"/>
        </w:rPr>
        <w:t>design</w:t>
      </w:r>
      <w:r>
        <w:t xml:space="preserve"> of the review procedure should align with</w:t>
      </w:r>
      <w:r w:rsidR="00BA13E4">
        <w:t xml:space="preserve"> the criteria set out in Table </w:t>
      </w:r>
      <w:r w:rsidRPr="00BA13E4">
        <w:t>1</w:t>
      </w:r>
      <w:r>
        <w:t xml:space="preserve"> below.</w:t>
      </w:r>
    </w:p>
    <w:p w:rsidR="007617AF" w:rsidRDefault="00BA13E4" w:rsidP="007617AF">
      <w:pPr>
        <w:rPr>
          <w:b/>
        </w:rPr>
      </w:pPr>
      <w:r w:rsidRPr="00BA13E4">
        <w:rPr>
          <w:b/>
        </w:rPr>
        <w:t xml:space="preserve">Table </w:t>
      </w:r>
      <w:r w:rsidR="007617AF" w:rsidRPr="00BA13E4">
        <w:rPr>
          <w:b/>
        </w:rPr>
        <w:t>1</w:t>
      </w:r>
      <w:r w:rsidR="007617AF" w:rsidRPr="007617AF">
        <w:rPr>
          <w:b/>
        </w:rPr>
        <w:t>: Assessment criteria</w:t>
      </w:r>
    </w:p>
    <w:tbl>
      <w:tblPr>
        <w:tblW w:w="0" w:type="auto"/>
        <w:tblInd w:w="108" w:type="dxa"/>
        <w:tblCellMar>
          <w:left w:w="0" w:type="dxa"/>
          <w:right w:w="0" w:type="dxa"/>
        </w:tblCellMar>
        <w:tblLook w:val="04A0" w:firstRow="1" w:lastRow="0" w:firstColumn="1" w:lastColumn="0" w:noHBand="0" w:noVBand="1"/>
      </w:tblPr>
      <w:tblGrid>
        <w:gridCol w:w="2622"/>
        <w:gridCol w:w="6512"/>
      </w:tblGrid>
      <w:tr w:rsidR="00947D5C" w:rsidTr="00AA05B8">
        <w:tc>
          <w:tcPr>
            <w:tcW w:w="2622" w:type="dxa"/>
            <w:tcBorders>
              <w:top w:val="single" w:sz="8" w:space="0" w:color="4F81BD"/>
              <w:left w:val="single" w:sz="8" w:space="0" w:color="4F81BD"/>
              <w:bottom w:val="single" w:sz="8" w:space="0" w:color="4F81BD"/>
              <w:right w:val="single" w:sz="8" w:space="0" w:color="4F81BD"/>
            </w:tcBorders>
            <w:shd w:val="clear" w:color="auto" w:fill="4F81BD"/>
            <w:tcMar>
              <w:top w:w="0" w:type="dxa"/>
              <w:left w:w="108" w:type="dxa"/>
              <w:bottom w:w="0" w:type="dxa"/>
              <w:right w:w="108" w:type="dxa"/>
            </w:tcMar>
            <w:hideMark/>
          </w:tcPr>
          <w:p w:rsidR="00947D5C" w:rsidRDefault="00947D5C" w:rsidP="00AA05B8">
            <w:pPr>
              <w:rPr>
                <w:rFonts w:ascii="Calibri" w:hAnsi="Calibri"/>
                <w:b/>
                <w:bCs/>
                <w:color w:val="FFFFFF"/>
              </w:rPr>
            </w:pPr>
            <w:r>
              <w:rPr>
                <w:b/>
                <w:bCs/>
                <w:color w:val="FFFFFF"/>
              </w:rPr>
              <w:t>Criteria</w:t>
            </w:r>
          </w:p>
        </w:tc>
        <w:tc>
          <w:tcPr>
            <w:tcW w:w="6512" w:type="dxa"/>
            <w:tcBorders>
              <w:top w:val="single" w:sz="8" w:space="0" w:color="4F81BD"/>
              <w:left w:val="nil"/>
              <w:bottom w:val="single" w:sz="8" w:space="0" w:color="4F81BD"/>
              <w:right w:val="single" w:sz="8" w:space="0" w:color="4F81BD"/>
            </w:tcBorders>
            <w:shd w:val="clear" w:color="auto" w:fill="4F81BD"/>
            <w:tcMar>
              <w:top w:w="0" w:type="dxa"/>
              <w:left w:w="108" w:type="dxa"/>
              <w:bottom w:w="0" w:type="dxa"/>
              <w:right w:w="108" w:type="dxa"/>
            </w:tcMar>
            <w:hideMark/>
          </w:tcPr>
          <w:p w:rsidR="00947D5C" w:rsidRDefault="00947D5C" w:rsidP="00AA05B8">
            <w:pPr>
              <w:rPr>
                <w:rFonts w:ascii="Calibri" w:hAnsi="Calibri"/>
                <w:b/>
                <w:bCs/>
                <w:color w:val="FFFFFF"/>
              </w:rPr>
            </w:pPr>
            <w:r>
              <w:rPr>
                <w:b/>
                <w:bCs/>
                <w:color w:val="FFFFFF"/>
              </w:rPr>
              <w:t>Description</w:t>
            </w:r>
          </w:p>
        </w:tc>
      </w:tr>
      <w:tr w:rsidR="00947D5C" w:rsidRPr="00A40F87" w:rsidTr="00AA05B8">
        <w:tc>
          <w:tcPr>
            <w:tcW w:w="2622" w:type="dxa"/>
            <w:tcBorders>
              <w:top w:val="nil"/>
              <w:left w:val="single" w:sz="8" w:space="0" w:color="4F81BD"/>
              <w:bottom w:val="single" w:sz="8" w:space="0" w:color="4F81BD"/>
              <w:right w:val="single" w:sz="8" w:space="0" w:color="4F81BD"/>
            </w:tcBorders>
            <w:tcMar>
              <w:top w:w="0" w:type="dxa"/>
              <w:left w:w="108" w:type="dxa"/>
              <w:bottom w:w="0" w:type="dxa"/>
              <w:right w:w="108" w:type="dxa"/>
            </w:tcMar>
          </w:tcPr>
          <w:p w:rsidR="00947D5C" w:rsidRPr="007617AF" w:rsidRDefault="00947D5C" w:rsidP="00AA05B8">
            <w:pPr>
              <w:rPr>
                <w:b/>
              </w:rPr>
            </w:pPr>
            <w:r w:rsidRPr="007617AF">
              <w:rPr>
                <w:b/>
              </w:rPr>
              <w:t>Availability of financeable routes to market for independents</w:t>
            </w:r>
          </w:p>
        </w:tc>
        <w:tc>
          <w:tcPr>
            <w:tcW w:w="6512" w:type="dxa"/>
            <w:tcBorders>
              <w:top w:val="nil"/>
              <w:left w:val="nil"/>
              <w:bottom w:val="single" w:sz="8" w:space="0" w:color="4F81BD"/>
              <w:right w:val="single" w:sz="8" w:space="0" w:color="4F81BD"/>
            </w:tcBorders>
            <w:tcMar>
              <w:top w:w="0" w:type="dxa"/>
              <w:left w:w="108" w:type="dxa"/>
              <w:bottom w:w="0" w:type="dxa"/>
              <w:right w:w="108" w:type="dxa"/>
            </w:tcMar>
          </w:tcPr>
          <w:p w:rsidR="00947D5C" w:rsidRPr="00947D5C" w:rsidRDefault="00947D5C" w:rsidP="007F7120">
            <w:pPr>
              <w:pStyle w:val="ListParagraph"/>
              <w:numPr>
                <w:ilvl w:val="0"/>
                <w:numId w:val="4"/>
              </w:numPr>
              <w:spacing w:after="0" w:line="240" w:lineRule="auto"/>
              <w:ind w:left="247" w:hanging="283"/>
              <w:contextualSpacing w:val="0"/>
              <w:rPr>
                <w:rFonts w:ascii="Gill Sans MT" w:eastAsia="Times New Roman" w:hAnsi="Gill Sans MT" w:cs="Times New Roman"/>
                <w:color w:val="000000"/>
                <w:lang w:eastAsia="en-GB"/>
              </w:rPr>
            </w:pPr>
            <w:r w:rsidRPr="00947D5C">
              <w:rPr>
                <w:rFonts w:ascii="Gill Sans MT" w:eastAsia="Times New Roman" w:hAnsi="Gill Sans MT" w:cs="Times New Roman"/>
                <w:color w:val="000000"/>
                <w:lang w:eastAsia="en-GB"/>
              </w:rPr>
              <w:t>The timing of access should afford generators sufficient flexibility in the route-to-market choice.</w:t>
            </w:r>
          </w:p>
        </w:tc>
      </w:tr>
      <w:tr w:rsidR="00947D5C" w:rsidRPr="00A40F87" w:rsidTr="00AA05B8">
        <w:tc>
          <w:tcPr>
            <w:tcW w:w="2622" w:type="dxa"/>
            <w:tcBorders>
              <w:top w:val="nil"/>
              <w:left w:val="single" w:sz="8" w:space="0" w:color="4F81BD"/>
              <w:bottom w:val="single" w:sz="8" w:space="0" w:color="4F81BD"/>
              <w:right w:val="single" w:sz="8" w:space="0" w:color="4F81BD"/>
            </w:tcBorders>
            <w:tcMar>
              <w:top w:w="0" w:type="dxa"/>
              <w:left w:w="108" w:type="dxa"/>
              <w:bottom w:w="0" w:type="dxa"/>
              <w:right w:w="108" w:type="dxa"/>
            </w:tcMar>
          </w:tcPr>
          <w:p w:rsidR="00947D5C" w:rsidRPr="007617AF" w:rsidRDefault="00947D5C" w:rsidP="00AA05B8">
            <w:pPr>
              <w:rPr>
                <w:b/>
              </w:rPr>
            </w:pPr>
            <w:r>
              <w:rPr>
                <w:b/>
              </w:rPr>
              <w:t>Minimise system costs</w:t>
            </w:r>
          </w:p>
        </w:tc>
        <w:tc>
          <w:tcPr>
            <w:tcW w:w="6512" w:type="dxa"/>
            <w:tcBorders>
              <w:top w:val="nil"/>
              <w:left w:val="nil"/>
              <w:bottom w:val="single" w:sz="8" w:space="0" w:color="4F81BD"/>
              <w:right w:val="single" w:sz="8" w:space="0" w:color="4F81BD"/>
            </w:tcBorders>
            <w:tcMar>
              <w:top w:w="0" w:type="dxa"/>
              <w:left w:w="108" w:type="dxa"/>
              <w:bottom w:w="0" w:type="dxa"/>
              <w:right w:w="108" w:type="dxa"/>
            </w:tcMar>
          </w:tcPr>
          <w:p w:rsidR="00947D5C" w:rsidRPr="00947D5C" w:rsidRDefault="00947D5C" w:rsidP="007F7120">
            <w:pPr>
              <w:pStyle w:val="ListParagraph"/>
              <w:numPr>
                <w:ilvl w:val="0"/>
                <w:numId w:val="4"/>
              </w:numPr>
              <w:spacing w:after="0" w:line="240" w:lineRule="auto"/>
              <w:ind w:left="247" w:hanging="283"/>
              <w:contextualSpacing w:val="0"/>
              <w:rPr>
                <w:rFonts w:ascii="Gill Sans MT" w:eastAsia="Times New Roman" w:hAnsi="Gill Sans MT" w:cs="Times New Roman"/>
                <w:color w:val="000000"/>
                <w:lang w:eastAsia="en-GB"/>
              </w:rPr>
            </w:pPr>
            <w:r w:rsidRPr="00947D5C">
              <w:rPr>
                <w:rFonts w:ascii="Gill Sans MT" w:eastAsia="Times New Roman" w:hAnsi="Gill Sans MT" w:cs="Times New Roman"/>
                <w:color w:val="000000"/>
                <w:lang w:eastAsia="en-GB"/>
              </w:rPr>
              <w:t>Ensure sufficient incentives are kept on generators to put in place appropriate contracting arrangements on a commercial basis</w:t>
            </w:r>
          </w:p>
        </w:tc>
      </w:tr>
      <w:tr w:rsidR="00947D5C" w:rsidRPr="00A40F87" w:rsidTr="00AA05B8">
        <w:tc>
          <w:tcPr>
            <w:tcW w:w="2622" w:type="dxa"/>
            <w:tcBorders>
              <w:top w:val="nil"/>
              <w:left w:val="single" w:sz="8" w:space="0" w:color="4F81BD"/>
              <w:bottom w:val="single" w:sz="8" w:space="0" w:color="4F81BD"/>
              <w:right w:val="single" w:sz="8" w:space="0" w:color="4F81BD"/>
            </w:tcBorders>
            <w:tcMar>
              <w:top w:w="0" w:type="dxa"/>
              <w:left w:w="108" w:type="dxa"/>
              <w:bottom w:w="0" w:type="dxa"/>
              <w:right w:w="108" w:type="dxa"/>
            </w:tcMar>
          </w:tcPr>
          <w:p w:rsidR="00947D5C" w:rsidRPr="007617AF" w:rsidRDefault="00947D5C" w:rsidP="00AA05B8">
            <w:pPr>
              <w:rPr>
                <w:b/>
              </w:rPr>
            </w:pPr>
            <w:r w:rsidRPr="007617AF">
              <w:rPr>
                <w:b/>
              </w:rPr>
              <w:t xml:space="preserve">Impact on suppliers </w:t>
            </w:r>
          </w:p>
        </w:tc>
        <w:tc>
          <w:tcPr>
            <w:tcW w:w="6512" w:type="dxa"/>
            <w:tcBorders>
              <w:top w:val="nil"/>
              <w:left w:val="nil"/>
              <w:bottom w:val="single" w:sz="8" w:space="0" w:color="4F81BD"/>
              <w:right w:val="single" w:sz="8" w:space="0" w:color="4F81BD"/>
            </w:tcBorders>
            <w:tcMar>
              <w:top w:w="0" w:type="dxa"/>
              <w:left w:w="108" w:type="dxa"/>
              <w:bottom w:w="0" w:type="dxa"/>
              <w:right w:w="108" w:type="dxa"/>
            </w:tcMar>
          </w:tcPr>
          <w:p w:rsidR="00947D5C" w:rsidRPr="00947D5C" w:rsidRDefault="00D976DB" w:rsidP="00947D5C">
            <w:pPr>
              <w:spacing w:after="0" w:line="240" w:lineRule="auto"/>
              <w:ind w:left="247"/>
              <w:rPr>
                <w:rFonts w:ascii="Gill Sans MT" w:eastAsia="Times New Roman" w:hAnsi="Gill Sans MT" w:cs="Times New Roman"/>
                <w:color w:val="000000"/>
                <w:lang w:eastAsia="en-GB"/>
              </w:rPr>
            </w:pPr>
            <w:r>
              <w:rPr>
                <w:rFonts w:ascii="Gill Sans MT" w:eastAsia="Times New Roman" w:hAnsi="Gill Sans MT" w:cs="Times New Roman"/>
                <w:color w:val="000000"/>
                <w:lang w:eastAsia="en-GB"/>
              </w:rPr>
              <w:t>-</w:t>
            </w:r>
          </w:p>
        </w:tc>
      </w:tr>
      <w:tr w:rsidR="00947D5C" w:rsidTr="00AA05B8">
        <w:tc>
          <w:tcPr>
            <w:tcW w:w="2622" w:type="dxa"/>
            <w:tcBorders>
              <w:top w:val="nil"/>
              <w:left w:val="single" w:sz="8" w:space="0" w:color="4F81BD"/>
              <w:bottom w:val="single" w:sz="8" w:space="0" w:color="4F81BD"/>
              <w:right w:val="single" w:sz="8" w:space="0" w:color="4F81BD"/>
            </w:tcBorders>
            <w:tcMar>
              <w:top w:w="0" w:type="dxa"/>
              <w:left w:w="108" w:type="dxa"/>
              <w:bottom w:w="0" w:type="dxa"/>
              <w:right w:w="108" w:type="dxa"/>
            </w:tcMar>
          </w:tcPr>
          <w:p w:rsidR="00947D5C" w:rsidRPr="007617AF" w:rsidRDefault="00947D5C" w:rsidP="00AA05B8">
            <w:pPr>
              <w:rPr>
                <w:b/>
              </w:rPr>
            </w:pPr>
            <w:r w:rsidRPr="007617AF">
              <w:rPr>
                <w:b/>
              </w:rPr>
              <w:t>Potential for market distortions</w:t>
            </w:r>
          </w:p>
        </w:tc>
        <w:tc>
          <w:tcPr>
            <w:tcW w:w="6512" w:type="dxa"/>
            <w:tcBorders>
              <w:top w:val="nil"/>
              <w:left w:val="nil"/>
              <w:bottom w:val="single" w:sz="8" w:space="0" w:color="4F81BD"/>
              <w:right w:val="single" w:sz="8" w:space="0" w:color="4F81BD"/>
            </w:tcBorders>
            <w:tcMar>
              <w:top w:w="0" w:type="dxa"/>
              <w:left w:w="108" w:type="dxa"/>
              <w:bottom w:w="0" w:type="dxa"/>
              <w:right w:w="108" w:type="dxa"/>
            </w:tcMar>
          </w:tcPr>
          <w:p w:rsidR="00947D5C" w:rsidRPr="00947D5C" w:rsidRDefault="00947D5C" w:rsidP="007F7120">
            <w:pPr>
              <w:pStyle w:val="ListParagraph"/>
              <w:numPr>
                <w:ilvl w:val="0"/>
                <w:numId w:val="4"/>
              </w:numPr>
              <w:spacing w:after="0" w:line="240" w:lineRule="auto"/>
              <w:ind w:left="247" w:hanging="283"/>
              <w:contextualSpacing w:val="0"/>
              <w:rPr>
                <w:rFonts w:ascii="Gill Sans MT" w:eastAsia="Times New Roman" w:hAnsi="Gill Sans MT" w:cs="Times New Roman"/>
                <w:color w:val="000000"/>
                <w:lang w:eastAsia="en-GB"/>
              </w:rPr>
            </w:pPr>
            <w:r w:rsidRPr="00947D5C">
              <w:rPr>
                <w:rFonts w:ascii="Gill Sans MT" w:eastAsia="Times New Roman" w:hAnsi="Gill Sans MT" w:cs="Times New Roman"/>
                <w:color w:val="000000"/>
                <w:lang w:eastAsia="en-GB"/>
              </w:rPr>
              <w:t>Should not “crowd-out” commercial PPA market and encourage both new entry and competition wherever possible</w:t>
            </w:r>
          </w:p>
        </w:tc>
      </w:tr>
      <w:tr w:rsidR="00947D5C" w:rsidRPr="00400395" w:rsidTr="00AA05B8">
        <w:trPr>
          <w:trHeight w:val="80"/>
        </w:trPr>
        <w:tc>
          <w:tcPr>
            <w:tcW w:w="2622"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tcPr>
          <w:p w:rsidR="00947D5C" w:rsidRPr="007617AF" w:rsidRDefault="00947D5C" w:rsidP="00AA05B8">
            <w:pPr>
              <w:rPr>
                <w:b/>
              </w:rPr>
            </w:pPr>
            <w:r w:rsidRPr="007617AF">
              <w:rPr>
                <w:b/>
              </w:rPr>
              <w:t>Practicality and cost of implementation and administration</w:t>
            </w:r>
          </w:p>
        </w:tc>
        <w:tc>
          <w:tcPr>
            <w:tcW w:w="6512" w:type="dxa"/>
            <w:tcBorders>
              <w:top w:val="single" w:sz="8" w:space="0" w:color="4F81BD"/>
              <w:left w:val="nil"/>
              <w:bottom w:val="single" w:sz="8" w:space="0" w:color="4F81BD"/>
              <w:right w:val="single" w:sz="8" w:space="0" w:color="4F81BD"/>
            </w:tcBorders>
            <w:tcMar>
              <w:top w:w="0" w:type="dxa"/>
              <w:left w:w="108" w:type="dxa"/>
              <w:bottom w:w="0" w:type="dxa"/>
              <w:right w:w="108" w:type="dxa"/>
            </w:tcMar>
          </w:tcPr>
          <w:p w:rsidR="00947D5C" w:rsidRPr="00947D5C" w:rsidRDefault="00947D5C" w:rsidP="007F7120">
            <w:pPr>
              <w:pStyle w:val="ListParagraph"/>
              <w:numPr>
                <w:ilvl w:val="0"/>
                <w:numId w:val="4"/>
              </w:numPr>
              <w:spacing w:after="0" w:line="240" w:lineRule="auto"/>
              <w:ind w:left="247" w:hanging="283"/>
              <w:contextualSpacing w:val="0"/>
              <w:rPr>
                <w:rFonts w:ascii="Gill Sans MT" w:eastAsia="Times New Roman" w:hAnsi="Gill Sans MT" w:cs="Times New Roman"/>
                <w:color w:val="000000"/>
                <w:lang w:eastAsia="en-GB"/>
              </w:rPr>
            </w:pPr>
            <w:r w:rsidRPr="00947D5C">
              <w:rPr>
                <w:rFonts w:ascii="Gill Sans MT" w:eastAsia="Times New Roman" w:hAnsi="Gill Sans MT" w:cs="Times New Roman"/>
                <w:color w:val="000000"/>
                <w:lang w:eastAsia="en-GB"/>
              </w:rPr>
              <w:t xml:space="preserve">Needs to be feasible for </w:t>
            </w:r>
            <w:proofErr w:type="spellStart"/>
            <w:r w:rsidRPr="00947D5C">
              <w:rPr>
                <w:rFonts w:ascii="Gill Sans MT" w:eastAsia="Times New Roman" w:hAnsi="Gill Sans MT" w:cs="Times New Roman"/>
                <w:color w:val="000000"/>
                <w:lang w:eastAsia="en-GB"/>
              </w:rPr>
              <w:t>Ofgem</w:t>
            </w:r>
            <w:proofErr w:type="spellEnd"/>
            <w:r w:rsidRPr="00947D5C">
              <w:rPr>
                <w:rFonts w:ascii="Gill Sans MT" w:eastAsia="Times New Roman" w:hAnsi="Gill Sans MT" w:cs="Times New Roman"/>
                <w:color w:val="000000"/>
                <w:lang w:eastAsia="en-GB"/>
              </w:rPr>
              <w:t xml:space="preserve"> and suppliers to implement within time scale</w:t>
            </w:r>
          </w:p>
        </w:tc>
      </w:tr>
      <w:tr w:rsidR="00947D5C" w:rsidRPr="00400395" w:rsidTr="00AA05B8">
        <w:trPr>
          <w:trHeight w:val="80"/>
        </w:trPr>
        <w:tc>
          <w:tcPr>
            <w:tcW w:w="2622"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tcPr>
          <w:p w:rsidR="00947D5C" w:rsidRPr="007617AF" w:rsidRDefault="00947D5C" w:rsidP="00AA05B8">
            <w:pPr>
              <w:rPr>
                <w:b/>
              </w:rPr>
            </w:pPr>
            <w:r w:rsidRPr="007617AF">
              <w:rPr>
                <w:b/>
              </w:rPr>
              <w:t>Legal risk and potential compliance cost</w:t>
            </w:r>
          </w:p>
        </w:tc>
        <w:tc>
          <w:tcPr>
            <w:tcW w:w="6512" w:type="dxa"/>
            <w:tcBorders>
              <w:top w:val="single" w:sz="8" w:space="0" w:color="4F81BD"/>
              <w:left w:val="nil"/>
              <w:bottom w:val="single" w:sz="8" w:space="0" w:color="4F81BD"/>
              <w:right w:val="single" w:sz="8" w:space="0" w:color="4F81BD"/>
            </w:tcBorders>
            <w:tcMar>
              <w:top w:w="0" w:type="dxa"/>
              <w:left w:w="108" w:type="dxa"/>
              <w:bottom w:w="0" w:type="dxa"/>
              <w:right w:w="108" w:type="dxa"/>
            </w:tcMar>
          </w:tcPr>
          <w:p w:rsidR="00947D5C" w:rsidRPr="00947D5C" w:rsidRDefault="00D976DB" w:rsidP="00947D5C">
            <w:pPr>
              <w:spacing w:after="0" w:line="240" w:lineRule="auto"/>
              <w:ind w:left="247"/>
              <w:rPr>
                <w:rFonts w:ascii="Gill Sans MT" w:eastAsia="Times New Roman" w:hAnsi="Gill Sans MT" w:cs="Times New Roman"/>
                <w:color w:val="000000"/>
                <w:lang w:eastAsia="en-GB"/>
              </w:rPr>
            </w:pPr>
            <w:r>
              <w:rPr>
                <w:rFonts w:ascii="Gill Sans MT" w:eastAsia="Times New Roman" w:hAnsi="Gill Sans MT" w:cs="Times New Roman"/>
                <w:color w:val="000000"/>
                <w:lang w:eastAsia="en-GB"/>
              </w:rPr>
              <w:t>-</w:t>
            </w:r>
          </w:p>
        </w:tc>
      </w:tr>
    </w:tbl>
    <w:p w:rsidR="00947D5C" w:rsidRDefault="00947D5C" w:rsidP="007617AF">
      <w:pPr>
        <w:rPr>
          <w:b/>
        </w:rPr>
      </w:pPr>
    </w:p>
    <w:p w:rsidR="00FD5E64" w:rsidRDefault="00FD5E64">
      <w:pPr>
        <w:rPr>
          <w:rFonts w:asciiTheme="majorHAnsi" w:eastAsiaTheme="majorEastAsia" w:hAnsiTheme="majorHAnsi" w:cstheme="majorBidi"/>
          <w:b/>
          <w:bCs/>
          <w:color w:val="4F81BD" w:themeColor="accent1"/>
        </w:rPr>
      </w:pPr>
      <w:r>
        <w:br w:type="page"/>
      </w:r>
    </w:p>
    <w:p w:rsidR="00BF1104" w:rsidRDefault="005727D6" w:rsidP="005727D6">
      <w:pPr>
        <w:pStyle w:val="Heading1"/>
      </w:pPr>
      <w:r>
        <w:lastRenderedPageBreak/>
        <w:t>Timing of Access to B</w:t>
      </w:r>
      <w:r w:rsidR="00E73B97">
        <w:t xml:space="preserve">ackstop </w:t>
      </w:r>
      <w:r>
        <w:t>PPA</w:t>
      </w:r>
      <w:r w:rsidR="00E73B97">
        <w:t>s</w:t>
      </w:r>
    </w:p>
    <w:p w:rsidR="00612789" w:rsidRDefault="00FD5E64" w:rsidP="00612789">
      <w:r>
        <w:t xml:space="preserve">The </w:t>
      </w:r>
      <w:r w:rsidR="00DA4731">
        <w:t>point</w:t>
      </w:r>
      <w:r>
        <w:t xml:space="preserve"> at which </w:t>
      </w:r>
      <w:r w:rsidR="005727D6" w:rsidRPr="003220F5">
        <w:t xml:space="preserve">generators </w:t>
      </w:r>
      <w:r w:rsidR="00E73B97">
        <w:t xml:space="preserve">are able to access Backstop PPAs </w:t>
      </w:r>
      <w:r w:rsidR="005727D6" w:rsidRPr="003220F5">
        <w:t>will depend on</w:t>
      </w:r>
      <w:r w:rsidR="0096710D" w:rsidRPr="003220F5">
        <w:t xml:space="preserve"> </w:t>
      </w:r>
      <w:r w:rsidR="00612789">
        <w:t xml:space="preserve">both </w:t>
      </w:r>
      <w:r w:rsidR="003220F5" w:rsidRPr="003220F5">
        <w:t xml:space="preserve">the </w:t>
      </w:r>
      <w:r w:rsidR="00612789">
        <w:t>time it takes to implement the</w:t>
      </w:r>
      <w:r w:rsidR="003220F5" w:rsidRPr="003220F5">
        <w:t xml:space="preserve"> OLR</w:t>
      </w:r>
      <w:r w:rsidR="0096710D" w:rsidRPr="003220F5">
        <w:t xml:space="preserve"> and </w:t>
      </w:r>
      <w:r w:rsidR="003220F5" w:rsidRPr="003220F5">
        <w:t xml:space="preserve">any </w:t>
      </w:r>
      <w:r w:rsidR="00612789">
        <w:t xml:space="preserve">decision on the appropriateness of a delay to access </w:t>
      </w:r>
      <w:r w:rsidR="00575CCE">
        <w:t xml:space="preserve">from the point of the </w:t>
      </w:r>
      <w:r w:rsidR="00E73B97">
        <w:t xml:space="preserve">CfD </w:t>
      </w:r>
      <w:r w:rsidR="00612789">
        <w:t>comm</w:t>
      </w:r>
      <w:r w:rsidR="00575CCE">
        <w:t>encing</w:t>
      </w:r>
      <w:r w:rsidR="00612789">
        <w:t>.  This section discusses each of these in turn.</w:t>
      </w:r>
    </w:p>
    <w:p w:rsidR="005727D6" w:rsidRDefault="00612789" w:rsidP="005727D6">
      <w:pPr>
        <w:pStyle w:val="Heading2"/>
      </w:pPr>
      <w:r>
        <w:t>I</w:t>
      </w:r>
      <w:r w:rsidR="005727D6">
        <w:t>mp</w:t>
      </w:r>
      <w:r>
        <w:t>lementing the OLR</w:t>
      </w:r>
    </w:p>
    <w:p w:rsidR="00804268" w:rsidRDefault="00BB61B3" w:rsidP="00C1506E">
      <w:r>
        <w:t xml:space="preserve">We are progressing with the OLR policy design as quickly as possible and envisage consulting on the policy early next year.  We currently aim to publish the Government’s response to the consultation, including </w:t>
      </w:r>
      <w:r w:rsidR="00DA4731">
        <w:t xml:space="preserve">draft secondary legislation and </w:t>
      </w:r>
      <w:r>
        <w:t xml:space="preserve">proposed terms of Backstop PPAs, by </w:t>
      </w:r>
      <w:r w:rsidR="00DA4731">
        <w:t xml:space="preserve">Q2 </w:t>
      </w:r>
      <w:r>
        <w:t>2014.</w:t>
      </w:r>
      <w:r w:rsidR="00804268">
        <w:t xml:space="preserve">  </w:t>
      </w:r>
      <w:r w:rsidR="00DA4731">
        <w:t>This timetable should allow</w:t>
      </w:r>
      <w:r>
        <w:t xml:space="preserve"> for OLR secondary legislation to come into force around the time the first CfDs are allocated in autumn 2014</w:t>
      </w:r>
      <w:r w:rsidR="00DA4731">
        <w:t>, depending on the result of consultation and the Parliamentary process</w:t>
      </w:r>
      <w:r>
        <w:t>.</w:t>
      </w:r>
      <w:r w:rsidR="00DA4731">
        <w:t xml:space="preserve"> Any generators signing CfDs before secondary legislation comes into force would be eligible for the OLR on the terms set out within that legislation.  We believe that this should provide g</w:t>
      </w:r>
      <w:r w:rsidR="00F37B50" w:rsidRPr="00F37B50">
        <w:t xml:space="preserve">enerators and lenders </w:t>
      </w:r>
      <w:r w:rsidR="00DA4731">
        <w:t xml:space="preserve">with </w:t>
      </w:r>
      <w:r w:rsidR="00F37B50" w:rsidRPr="00F37B50">
        <w:t xml:space="preserve">confidence over </w:t>
      </w:r>
      <w:r w:rsidR="00575CCE">
        <w:t xml:space="preserve">the </w:t>
      </w:r>
      <w:r w:rsidR="00DA4731">
        <w:t xml:space="preserve">detailed </w:t>
      </w:r>
      <w:r w:rsidR="00F37B50">
        <w:t xml:space="preserve">OLR </w:t>
      </w:r>
      <w:r w:rsidR="00575CCE">
        <w:t xml:space="preserve">provisions </w:t>
      </w:r>
      <w:r w:rsidR="00F37B50">
        <w:t xml:space="preserve">at the point </w:t>
      </w:r>
      <w:r w:rsidR="00575CCE">
        <w:t xml:space="preserve">at which </w:t>
      </w:r>
      <w:r w:rsidR="00F37B50">
        <w:t xml:space="preserve">the CfD is open </w:t>
      </w:r>
      <w:r w:rsidR="00575CCE">
        <w:t>to</w:t>
      </w:r>
      <w:r w:rsidR="00F37B50">
        <w:t xml:space="preserve"> applicants</w:t>
      </w:r>
      <w:r w:rsidR="00F37B50" w:rsidRPr="00F37B50">
        <w:t xml:space="preserve">.  </w:t>
      </w:r>
    </w:p>
    <w:p w:rsidR="0008234B" w:rsidRDefault="00BE7F6F" w:rsidP="00BB61B3">
      <w:r>
        <w:rPr>
          <w:noProof/>
          <w:lang w:eastAsia="en-GB"/>
        </w:rPr>
        <w:drawing>
          <wp:inline distT="0" distB="0" distL="0" distR="0" wp14:anchorId="2F3473A2" wp14:editId="0A44DEC7">
            <wp:extent cx="5495026" cy="4537494"/>
            <wp:effectExtent l="0" t="19050" r="48895" b="349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08234B" w:rsidRDefault="00984BFA" w:rsidP="0008234B">
      <w:r>
        <w:t>A</w:t>
      </w:r>
      <w:r w:rsidR="0008234B">
        <w:t xml:space="preserve">dditional time </w:t>
      </w:r>
      <w:r w:rsidR="007D4CDE">
        <w:t xml:space="preserve">may </w:t>
      </w:r>
      <w:r w:rsidR="0008234B">
        <w:t xml:space="preserve">be required once the </w:t>
      </w:r>
      <w:r>
        <w:t xml:space="preserve">secondary legislation </w:t>
      </w:r>
      <w:r w:rsidR="007D4CDE">
        <w:t>come</w:t>
      </w:r>
      <w:r>
        <w:t>s</w:t>
      </w:r>
      <w:r w:rsidR="007D4CDE">
        <w:t xml:space="preserve"> </w:t>
      </w:r>
      <w:r w:rsidR="0008234B">
        <w:t>in</w:t>
      </w:r>
      <w:r w:rsidR="007D4CDE">
        <w:t>to</w:t>
      </w:r>
      <w:r w:rsidR="0008234B">
        <w:t xml:space="preserve"> force for </w:t>
      </w:r>
      <w:proofErr w:type="spellStart"/>
      <w:r w:rsidR="0008234B">
        <w:t>Ofgem</w:t>
      </w:r>
      <w:proofErr w:type="spellEnd"/>
      <w:r w:rsidR="0008234B">
        <w:t xml:space="preserve"> and </w:t>
      </w:r>
      <w:proofErr w:type="spellStart"/>
      <w:r w:rsidR="0008234B">
        <w:t>offtakers</w:t>
      </w:r>
      <w:proofErr w:type="spellEnd"/>
      <w:r w:rsidR="0008234B">
        <w:t xml:space="preserve"> to put in place </w:t>
      </w:r>
      <w:r w:rsidR="00575CCE">
        <w:t xml:space="preserve">the </w:t>
      </w:r>
      <w:r w:rsidR="0008234B">
        <w:t>systems to allocate Backstop PPAs to generators and implement the levelisation process.</w:t>
      </w:r>
      <w:r w:rsidR="0008234B" w:rsidRPr="008678AB">
        <w:t xml:space="preserve"> </w:t>
      </w:r>
      <w:r w:rsidR="007D4CDE">
        <w:t xml:space="preserve"> </w:t>
      </w:r>
      <w:r w:rsidR="007D4CDE" w:rsidRPr="007D4CDE">
        <w:t xml:space="preserve">However, this should not impact on generators since they </w:t>
      </w:r>
      <w:r>
        <w:t xml:space="preserve">will not need a backstop PPA before </w:t>
      </w:r>
      <w:r w:rsidR="007D4CDE" w:rsidRPr="007D4CDE">
        <w:t>commission</w:t>
      </w:r>
      <w:r>
        <w:t xml:space="preserve">ing, likely to be </w:t>
      </w:r>
      <w:r w:rsidR="007D4CDE" w:rsidRPr="007D4CDE">
        <w:t xml:space="preserve">several months </w:t>
      </w:r>
      <w:r>
        <w:t xml:space="preserve">(at least) </w:t>
      </w:r>
      <w:r w:rsidR="007D4CDE" w:rsidRPr="007D4CDE">
        <w:t xml:space="preserve">after signing </w:t>
      </w:r>
      <w:r>
        <w:t xml:space="preserve">their </w:t>
      </w:r>
      <w:r w:rsidR="007D4CDE" w:rsidRPr="007D4CDE">
        <w:t>CfD.</w:t>
      </w:r>
      <w:r w:rsidR="007D4CDE">
        <w:t xml:space="preserve"> </w:t>
      </w:r>
      <w:r w:rsidR="0008234B">
        <w:t xml:space="preserve"> </w:t>
      </w:r>
    </w:p>
    <w:p w:rsidR="0008234B" w:rsidRDefault="006701EF" w:rsidP="0008234B">
      <w:pPr>
        <w:pBdr>
          <w:top w:val="single" w:sz="4" w:space="1" w:color="auto"/>
          <w:left w:val="single" w:sz="4" w:space="4" w:color="auto"/>
          <w:bottom w:val="single" w:sz="4" w:space="1" w:color="auto"/>
          <w:right w:val="single" w:sz="4" w:space="4" w:color="auto"/>
        </w:pBdr>
        <w:ind w:left="426" w:hanging="426"/>
      </w:pPr>
      <w:r>
        <w:lastRenderedPageBreak/>
        <w:t>Q1</w:t>
      </w:r>
      <w:r w:rsidR="0008234B">
        <w:t xml:space="preserve">: </w:t>
      </w:r>
      <w:r w:rsidR="0008234B">
        <w:tab/>
        <w:t>Given construction lead</w:t>
      </w:r>
      <w:r>
        <w:t>-</w:t>
      </w:r>
      <w:r w:rsidR="0008234B">
        <w:t>time</w:t>
      </w:r>
      <w:r>
        <w:t>s</w:t>
      </w:r>
      <w:r w:rsidR="0008234B">
        <w:t xml:space="preserve">, what would be the impact on generators if Backstop PPAs </w:t>
      </w:r>
      <w:r w:rsidR="00274D4D">
        <w:t>can</w:t>
      </w:r>
      <w:r w:rsidR="0008234B">
        <w:t xml:space="preserve">not be accessed </w:t>
      </w:r>
      <w:r w:rsidR="00984BFA">
        <w:t>for a period of time after</w:t>
      </w:r>
      <w:r w:rsidR="009F3E37">
        <w:t xml:space="preserve"> the</w:t>
      </w:r>
      <w:r w:rsidR="00984BFA">
        <w:t xml:space="preserve"> allocation of </w:t>
      </w:r>
      <w:r w:rsidR="00274D4D" w:rsidRPr="00274D4D">
        <w:t>CfDs</w:t>
      </w:r>
      <w:r w:rsidR="009F3E37">
        <w:t xml:space="preserve"> commences</w:t>
      </w:r>
      <w:r w:rsidR="00274D4D" w:rsidRPr="00274D4D">
        <w:t>?</w:t>
      </w:r>
    </w:p>
    <w:p w:rsidR="00804268" w:rsidRDefault="00804268" w:rsidP="00BB61B3"/>
    <w:p w:rsidR="008634E6" w:rsidRDefault="00612789" w:rsidP="008634E6">
      <w:pPr>
        <w:pStyle w:val="Heading2"/>
      </w:pPr>
      <w:r>
        <w:t>Delay</w:t>
      </w:r>
      <w:r w:rsidR="00137973" w:rsidRPr="003220F5">
        <w:t xml:space="preserve"> </w:t>
      </w:r>
      <w:r>
        <w:t>to</w:t>
      </w:r>
      <w:r w:rsidR="008634E6" w:rsidRPr="003220F5">
        <w:t xml:space="preserve"> access</w:t>
      </w:r>
    </w:p>
    <w:p w:rsidR="008634E6" w:rsidRDefault="008634E6" w:rsidP="00567E8B">
      <w:r>
        <w:t xml:space="preserve">Where otherwise lenders would require </w:t>
      </w:r>
      <w:r w:rsidR="00984BFA">
        <w:t xml:space="preserve">long term </w:t>
      </w:r>
      <w:r>
        <w:t xml:space="preserve">PPAs, the OLR </w:t>
      </w:r>
      <w:r w:rsidR="00984BFA">
        <w:t xml:space="preserve">may enable generators to use </w:t>
      </w:r>
      <w:r>
        <w:t>shorter-term contracting approach</w:t>
      </w:r>
      <w:r w:rsidR="003220F5">
        <w:t>es</w:t>
      </w:r>
      <w:r>
        <w:t xml:space="preserve"> with a wider range of offtakers</w:t>
      </w:r>
      <w:r w:rsidR="00137973">
        <w:t xml:space="preserve"> by effectively capping downside losses and guaranteeing offtake</w:t>
      </w:r>
      <w:r w:rsidR="00567E8B">
        <w:t xml:space="preserve">.  </w:t>
      </w:r>
      <w:r w:rsidR="00984BFA">
        <w:t>R</w:t>
      </w:r>
      <w:r w:rsidR="00567E8B">
        <w:t xml:space="preserve">egulations </w:t>
      </w:r>
      <w:r w:rsidR="00791B52">
        <w:t xml:space="preserve">and licence conditions </w:t>
      </w:r>
      <w:r w:rsidR="003220F5">
        <w:t>will</w:t>
      </w:r>
      <w:r w:rsidR="00567E8B">
        <w:t xml:space="preserve"> </w:t>
      </w:r>
      <w:r w:rsidR="00984BFA">
        <w:t xml:space="preserve">set out the </w:t>
      </w:r>
      <w:r w:rsidR="00791B52">
        <w:t xml:space="preserve">terms of </w:t>
      </w:r>
      <w:r w:rsidR="00567E8B">
        <w:t xml:space="preserve">the OLR </w:t>
      </w:r>
      <w:r w:rsidR="00984BFA">
        <w:t xml:space="preserve">generators will be eligible for </w:t>
      </w:r>
      <w:r w:rsidR="00567E8B">
        <w:t>at the point of CfD signing</w:t>
      </w:r>
      <w:r w:rsidR="003220F5">
        <w:t xml:space="preserve"> (with the provisions grandfathered from that point)</w:t>
      </w:r>
      <w:r w:rsidR="009F3E37">
        <w:t>. However</w:t>
      </w:r>
      <w:r w:rsidR="003220F5">
        <w:t>,</w:t>
      </w:r>
      <w:r w:rsidR="008F3F59">
        <w:t xml:space="preserve"> </w:t>
      </w:r>
      <w:r w:rsidR="00567E8B">
        <w:t xml:space="preserve">there is a question over whether generators </w:t>
      </w:r>
      <w:r w:rsidR="003220F5">
        <w:t>should</w:t>
      </w:r>
      <w:r w:rsidR="00567E8B">
        <w:t xml:space="preserve"> be able to access the Backstop PPA immediately</w:t>
      </w:r>
      <w:r w:rsidR="00553F17">
        <w:rPr>
          <w:rStyle w:val="FootnoteReference"/>
        </w:rPr>
        <w:footnoteReference w:id="1"/>
      </w:r>
      <w:r w:rsidR="00567E8B">
        <w:t xml:space="preserve"> (subject to</w:t>
      </w:r>
      <w:r w:rsidR="00791B52">
        <w:t xml:space="preserve"> the </w:t>
      </w:r>
      <w:r w:rsidR="003220F5">
        <w:t>practicality</w:t>
      </w:r>
      <w:r w:rsidR="00791B52">
        <w:t xml:space="preserve"> of implementation, above</w:t>
      </w:r>
      <w:r w:rsidR="00567E8B">
        <w:t>)</w:t>
      </w:r>
      <w:r w:rsidR="00791B52">
        <w:t xml:space="preserve">, or </w:t>
      </w:r>
      <w:r w:rsidR="00567E8B">
        <w:t xml:space="preserve">a given period of time after </w:t>
      </w:r>
      <w:r w:rsidR="0052714D">
        <w:t>their CfD commences</w:t>
      </w:r>
      <w:r w:rsidR="00567E8B">
        <w:t xml:space="preserve">. </w:t>
      </w:r>
    </w:p>
    <w:p w:rsidR="000D69A8" w:rsidRDefault="000D69A8" w:rsidP="00567E8B">
      <w:r w:rsidRPr="000D69A8">
        <w:rPr>
          <w:b/>
        </w:rPr>
        <w:t xml:space="preserve">We question whether a generator requires access to </w:t>
      </w:r>
      <w:r w:rsidR="00EB60E4">
        <w:rPr>
          <w:b/>
        </w:rPr>
        <w:t>a Backstop PPA</w:t>
      </w:r>
      <w:r w:rsidRPr="000D69A8">
        <w:rPr>
          <w:b/>
        </w:rPr>
        <w:t xml:space="preserve"> in the early years</w:t>
      </w:r>
      <w:r>
        <w:t>, given that:</w:t>
      </w:r>
    </w:p>
    <w:p w:rsidR="004237F5" w:rsidRDefault="004237F5" w:rsidP="004237F5">
      <w:pPr>
        <w:pStyle w:val="ListParagraph"/>
        <w:numPr>
          <w:ilvl w:val="0"/>
          <w:numId w:val="14"/>
        </w:numPr>
      </w:pPr>
      <w:r w:rsidRPr="004237F5">
        <w:t xml:space="preserve">Imbalance and route to market costs are much more predictable in the near-term, so there is less need to provide protection </w:t>
      </w:r>
      <w:r w:rsidR="006D0031">
        <w:t xml:space="preserve">for lenders </w:t>
      </w:r>
      <w:r w:rsidRPr="004237F5">
        <w:t xml:space="preserve">against </w:t>
      </w:r>
      <w:r w:rsidR="006D0031">
        <w:t xml:space="preserve">extreme downside scenarios </w:t>
      </w:r>
      <w:r w:rsidR="00553F17">
        <w:t>during</w:t>
      </w:r>
      <w:r w:rsidR="00553F17" w:rsidRPr="004237F5">
        <w:t xml:space="preserve"> </w:t>
      </w:r>
      <w:r w:rsidRPr="004237F5">
        <w:t>this period.</w:t>
      </w:r>
    </w:p>
    <w:p w:rsidR="003E5BB1" w:rsidRDefault="00791B52" w:rsidP="004237F5">
      <w:pPr>
        <w:pStyle w:val="ListParagraph"/>
        <w:numPr>
          <w:ilvl w:val="0"/>
          <w:numId w:val="14"/>
        </w:numPr>
      </w:pPr>
      <w:r>
        <w:t>Liquidity of shorter-term PPAs (1-3years) is currently robust, and shoul</w:t>
      </w:r>
      <w:r w:rsidR="004237F5">
        <w:t xml:space="preserve">d improve further under the CfD, </w:t>
      </w:r>
      <w:r w:rsidR="004237F5" w:rsidRPr="004237F5">
        <w:t>so it should be easier for generators to get short-term PPAs at reasonable discounts.</w:t>
      </w:r>
    </w:p>
    <w:p w:rsidR="006F74E9" w:rsidRPr="006F74E9" w:rsidRDefault="006F74E9" w:rsidP="006D0031">
      <w:pPr>
        <w:pStyle w:val="ListParagraph"/>
        <w:numPr>
          <w:ilvl w:val="0"/>
          <w:numId w:val="14"/>
        </w:numPr>
        <w:tabs>
          <w:tab w:val="left" w:pos="426"/>
          <w:tab w:val="left" w:pos="709"/>
        </w:tabs>
        <w:spacing w:after="0"/>
        <w:rPr>
          <w:color w:val="000000" w:themeColor="text1"/>
        </w:rPr>
      </w:pPr>
      <w:r w:rsidRPr="006F74E9">
        <w:rPr>
          <w:color w:val="000000" w:themeColor="text1"/>
        </w:rPr>
        <w:t xml:space="preserve">Lenders may require generators to have PPAs with a minimum initial tenor in order for them to release funds.  </w:t>
      </w:r>
      <w:r w:rsidR="006D0031">
        <w:rPr>
          <w:color w:val="000000" w:themeColor="text1"/>
        </w:rPr>
        <w:t>A</w:t>
      </w:r>
      <w:r w:rsidR="006D0031" w:rsidRPr="006D0031">
        <w:rPr>
          <w:color w:val="000000" w:themeColor="text1"/>
        </w:rPr>
        <w:t>s such</w:t>
      </w:r>
      <w:r w:rsidR="006D0031">
        <w:rPr>
          <w:color w:val="000000" w:themeColor="text1"/>
        </w:rPr>
        <w:t>,</w:t>
      </w:r>
      <w:r w:rsidRPr="006F74E9">
        <w:rPr>
          <w:color w:val="000000" w:themeColor="text1"/>
        </w:rPr>
        <w:t xml:space="preserve"> access to the OLR during the term of this PPA would have little impact on </w:t>
      </w:r>
      <w:r w:rsidR="00FE6127">
        <w:rPr>
          <w:color w:val="000000" w:themeColor="text1"/>
        </w:rPr>
        <w:t>their willingness to lend</w:t>
      </w:r>
      <w:r w:rsidRPr="006F74E9">
        <w:rPr>
          <w:color w:val="000000" w:themeColor="text1"/>
        </w:rPr>
        <w:t>.</w:t>
      </w:r>
    </w:p>
    <w:p w:rsidR="003E5BB1" w:rsidRDefault="003E5BB1" w:rsidP="003E5BB1">
      <w:pPr>
        <w:pStyle w:val="ListParagraph"/>
        <w:numPr>
          <w:ilvl w:val="0"/>
          <w:numId w:val="14"/>
        </w:numPr>
      </w:pPr>
      <w:r>
        <w:t>The nature of the Backstop PPA (most likely</w:t>
      </w:r>
      <w:r>
        <w:rPr>
          <w:rStyle w:val="FootnoteReference"/>
        </w:rPr>
        <w:footnoteReference w:id="2"/>
      </w:r>
      <w:r>
        <w:t xml:space="preserve"> a constant discount (fixed priced or percentage) across the life of the CfD) coupled with the profile of RTM risks (which are expected to increase over time) means that </w:t>
      </w:r>
      <w:r w:rsidR="00AA05B8">
        <w:t>generators are least likely to need access to</w:t>
      </w:r>
      <w:r w:rsidR="0008234B">
        <w:t xml:space="preserve"> </w:t>
      </w:r>
      <w:r w:rsidR="004237F5">
        <w:t>a Backstop PPA</w:t>
      </w:r>
      <w:r>
        <w:t xml:space="preserve"> in </w:t>
      </w:r>
      <w:r w:rsidR="004237F5">
        <w:t xml:space="preserve">the </w:t>
      </w:r>
      <w:r>
        <w:t>early years.</w:t>
      </w:r>
    </w:p>
    <w:p w:rsidR="00791B52" w:rsidRDefault="00AB532A" w:rsidP="004237F5">
      <w:pPr>
        <w:pStyle w:val="ListParagraph"/>
        <w:numPr>
          <w:ilvl w:val="0"/>
          <w:numId w:val="14"/>
        </w:numPr>
      </w:pPr>
      <w:r>
        <w:t xml:space="preserve">The </w:t>
      </w:r>
      <w:r w:rsidR="00553F17">
        <w:t xml:space="preserve">discount within </w:t>
      </w:r>
      <w:r>
        <w:t>Backstop PPA</w:t>
      </w:r>
      <w:r w:rsidR="00553F17">
        <w:t>s</w:t>
      </w:r>
      <w:r>
        <w:t xml:space="preserve"> </w:t>
      </w:r>
      <w:r w:rsidR="00AA05B8">
        <w:t>is likely to be such that generators cannot obtain their desired leverage by relying on backstop PPAs revenues alone (i.e. they will need to demonstrate contracted revenues above the backstop in order to get their target gearing).</w:t>
      </w:r>
      <w:r>
        <w:t xml:space="preserve"> </w:t>
      </w:r>
    </w:p>
    <w:p w:rsidR="00791B52" w:rsidRDefault="0085295B" w:rsidP="00791B52">
      <w:r>
        <w:t xml:space="preserve">There should therefore be both a strong incentive for generators to contract their output </w:t>
      </w:r>
      <w:r w:rsidR="00AB532A">
        <w:t xml:space="preserve">for the initial period of their CfD </w:t>
      </w:r>
      <w:r>
        <w:t xml:space="preserve">(at a much smaller discount to the reference price than they would secure </w:t>
      </w:r>
      <w:r w:rsidR="001E39F0">
        <w:t>in a Backstop PPA</w:t>
      </w:r>
      <w:r>
        <w:t xml:space="preserve">) and </w:t>
      </w:r>
      <w:r w:rsidR="00AB532A">
        <w:t xml:space="preserve">greater </w:t>
      </w:r>
      <w:r>
        <w:t xml:space="preserve">availability of offtakers willing to provide those PPAs.  It would seem highly unlikely that a generator would </w:t>
      </w:r>
      <w:r w:rsidR="004237F5">
        <w:t xml:space="preserve">need support from the </w:t>
      </w:r>
      <w:r>
        <w:t xml:space="preserve">OLR </w:t>
      </w:r>
      <w:r w:rsidR="004237F5">
        <w:t xml:space="preserve">provisions </w:t>
      </w:r>
      <w:r>
        <w:t>during this</w:t>
      </w:r>
      <w:r w:rsidR="003D1145">
        <w:t xml:space="preserve"> initial</w:t>
      </w:r>
      <w:r>
        <w:t xml:space="preserve"> phase.</w:t>
      </w:r>
      <w:r w:rsidR="00816648">
        <w:t xml:space="preserve">  Preventing access at this point would help ensure the OLR remained a last resort, and could help encourage lenders to </w:t>
      </w:r>
      <w:r w:rsidR="001E39F0">
        <w:t>fully engage with and understand the risks and rewards on offer through the CfD</w:t>
      </w:r>
      <w:r w:rsidR="00816648">
        <w:t>.</w:t>
      </w:r>
    </w:p>
    <w:p w:rsidR="0085295B" w:rsidRDefault="008F3F59" w:rsidP="00A87F0F">
      <w:pPr>
        <w:pBdr>
          <w:top w:val="single" w:sz="4" w:space="1" w:color="auto"/>
          <w:left w:val="single" w:sz="4" w:space="4" w:color="auto"/>
          <w:bottom w:val="single" w:sz="4" w:space="1" w:color="auto"/>
          <w:right w:val="single" w:sz="4" w:space="4" w:color="auto"/>
        </w:pBdr>
        <w:ind w:left="426" w:hanging="426"/>
      </w:pPr>
      <w:r>
        <w:t>Q2</w:t>
      </w:r>
      <w:r w:rsidR="0085295B">
        <w:t xml:space="preserve">:  </w:t>
      </w:r>
      <w:r w:rsidR="0008234B">
        <w:t xml:space="preserve">Assuming that the backstop discount is set significantly below </w:t>
      </w:r>
      <w:r w:rsidR="00C1506E">
        <w:t>discounts in the open</w:t>
      </w:r>
      <w:r w:rsidR="0008234B">
        <w:t xml:space="preserve"> market, d</w:t>
      </w:r>
      <w:r w:rsidR="0085295B">
        <w:t>o the group agree that it is unlikely that a generator would want or need to access the OLR during the early years of output?</w:t>
      </w:r>
    </w:p>
    <w:p w:rsidR="006634EC" w:rsidRDefault="00C1506E" w:rsidP="008634E6">
      <w:r>
        <w:lastRenderedPageBreak/>
        <w:t>However</w:t>
      </w:r>
      <w:r w:rsidR="006634EC">
        <w:t xml:space="preserve">, </w:t>
      </w:r>
      <w:r>
        <w:t xml:space="preserve">it is </w:t>
      </w:r>
      <w:r w:rsidRPr="00E5119A">
        <w:rPr>
          <w:b/>
        </w:rPr>
        <w:t>not clear</w:t>
      </w:r>
      <w:r>
        <w:t xml:space="preserve"> </w:t>
      </w:r>
      <w:r>
        <w:rPr>
          <w:b/>
        </w:rPr>
        <w:t xml:space="preserve">whether </w:t>
      </w:r>
      <w:r w:rsidR="0085295B">
        <w:rPr>
          <w:b/>
        </w:rPr>
        <w:t xml:space="preserve">there are </w:t>
      </w:r>
      <w:r w:rsidR="00B755D4">
        <w:rPr>
          <w:b/>
        </w:rPr>
        <w:t xml:space="preserve">significant </w:t>
      </w:r>
      <w:r w:rsidR="0085295B">
        <w:rPr>
          <w:b/>
        </w:rPr>
        <w:t>risks if</w:t>
      </w:r>
      <w:r w:rsidR="006634EC" w:rsidRPr="00AD186F">
        <w:rPr>
          <w:b/>
        </w:rPr>
        <w:t xml:space="preserve"> generators</w:t>
      </w:r>
      <w:r w:rsidR="006634EC" w:rsidRPr="0085295B">
        <w:rPr>
          <w:b/>
        </w:rPr>
        <w:t xml:space="preserve"> </w:t>
      </w:r>
      <w:r w:rsidR="0085295B" w:rsidRPr="0085295B">
        <w:rPr>
          <w:b/>
          <w:i/>
        </w:rPr>
        <w:t>are</w:t>
      </w:r>
      <w:r w:rsidR="0085295B" w:rsidRPr="0085295B">
        <w:rPr>
          <w:b/>
        </w:rPr>
        <w:t xml:space="preserve"> able to </w:t>
      </w:r>
      <w:r w:rsidR="006634EC" w:rsidRPr="0085295B">
        <w:rPr>
          <w:b/>
        </w:rPr>
        <w:t xml:space="preserve">access </w:t>
      </w:r>
      <w:r w:rsidR="001E39F0">
        <w:rPr>
          <w:b/>
        </w:rPr>
        <w:t>Backstop PPAs</w:t>
      </w:r>
      <w:r w:rsidR="006634EC">
        <w:t xml:space="preserve"> from the point of </w:t>
      </w:r>
      <w:r w:rsidR="00C17723">
        <w:t>at which their CfD commences</w:t>
      </w:r>
      <w:r w:rsidR="00804268">
        <w:rPr>
          <w:rStyle w:val="FootnoteReference"/>
        </w:rPr>
        <w:footnoteReference w:id="3"/>
      </w:r>
      <w:r w:rsidR="006634EC">
        <w:t>:</w:t>
      </w:r>
    </w:p>
    <w:p w:rsidR="00B755D4" w:rsidRDefault="00B755D4" w:rsidP="006634EC">
      <w:pPr>
        <w:pStyle w:val="ListParagraph"/>
        <w:numPr>
          <w:ilvl w:val="0"/>
          <w:numId w:val="16"/>
        </w:numPr>
      </w:pPr>
      <w:r>
        <w:t xml:space="preserve">Given the arguments above, it is highly unlikely that generators would seek </w:t>
      </w:r>
      <w:r w:rsidR="001E39F0">
        <w:t>Backstop PPAs</w:t>
      </w:r>
      <w:r>
        <w:t xml:space="preserve"> </w:t>
      </w:r>
      <w:r w:rsidR="00C1506E">
        <w:t>in the early years of generation.</w:t>
      </w:r>
    </w:p>
    <w:p w:rsidR="006C4752" w:rsidRDefault="00B755D4" w:rsidP="00816648">
      <w:pPr>
        <w:pStyle w:val="ListParagraph"/>
        <w:numPr>
          <w:ilvl w:val="0"/>
          <w:numId w:val="16"/>
        </w:numPr>
      </w:pPr>
      <w:r>
        <w:t>We do not believe that the OLR will distort the open</w:t>
      </w:r>
      <w:r w:rsidR="001E39F0">
        <w:t xml:space="preserve"> PPA market</w:t>
      </w:r>
      <w:r w:rsidR="001E39F0">
        <w:rPr>
          <w:rStyle w:val="FootnoteReference"/>
        </w:rPr>
        <w:footnoteReference w:id="4"/>
      </w:r>
      <w:r w:rsidR="008F69F5">
        <w:t xml:space="preserve">, and as such, allowing early access should not </w:t>
      </w:r>
      <w:r w:rsidR="00612789">
        <w:t xml:space="preserve">impact on the open </w:t>
      </w:r>
      <w:r w:rsidR="008F69F5">
        <w:t>market</w:t>
      </w:r>
      <w:r w:rsidR="00612789">
        <w:t xml:space="preserve"> for PPAs</w:t>
      </w:r>
      <w:r w:rsidR="008F69F5">
        <w:t>.</w:t>
      </w:r>
    </w:p>
    <w:p w:rsidR="003105DE" w:rsidRDefault="00E5119A" w:rsidP="00A87F0F">
      <w:pPr>
        <w:pBdr>
          <w:top w:val="single" w:sz="4" w:space="1" w:color="auto"/>
          <w:left w:val="single" w:sz="4" w:space="4" w:color="auto"/>
          <w:bottom w:val="single" w:sz="4" w:space="1" w:color="auto"/>
          <w:right w:val="single" w:sz="4" w:space="4" w:color="auto"/>
        </w:pBdr>
        <w:ind w:left="426" w:hanging="426"/>
      </w:pPr>
      <w:r>
        <w:t>Q3</w:t>
      </w:r>
      <w:r w:rsidR="003105DE">
        <w:t>:  Do</w:t>
      </w:r>
      <w:r w:rsidR="00C1506E">
        <w:t>es</w:t>
      </w:r>
      <w:r w:rsidR="003105DE">
        <w:t xml:space="preserve"> the group </w:t>
      </w:r>
      <w:r w:rsidR="00C1506E">
        <w:t xml:space="preserve">believe </w:t>
      </w:r>
      <w:r w:rsidR="003105DE">
        <w:t xml:space="preserve">there are </w:t>
      </w:r>
      <w:r w:rsidR="00C1506E">
        <w:t>any</w:t>
      </w:r>
      <w:r w:rsidR="003105DE">
        <w:t xml:space="preserve"> significant risks to </w:t>
      </w:r>
      <w:r w:rsidR="001C5D64">
        <w:t xml:space="preserve">generators, offtakers or consumers of </w:t>
      </w:r>
      <w:r w:rsidR="003105DE">
        <w:t xml:space="preserve">allowing </w:t>
      </w:r>
      <w:r w:rsidR="00C1506E">
        <w:t xml:space="preserve">generators to </w:t>
      </w:r>
      <w:r w:rsidR="003105DE">
        <w:t xml:space="preserve">access </w:t>
      </w:r>
      <w:r w:rsidR="00C1506E">
        <w:t>backstop PPAs from the point at which their CfD starts</w:t>
      </w:r>
      <w:r w:rsidR="003105DE">
        <w:t>?</w:t>
      </w:r>
    </w:p>
    <w:p w:rsidR="00AD186F" w:rsidRDefault="008F69F5" w:rsidP="00AD186F">
      <w:r>
        <w:t>Furthermore</w:t>
      </w:r>
      <w:r w:rsidR="00AD186F">
        <w:t xml:space="preserve"> </w:t>
      </w:r>
      <w:r w:rsidR="00AD186F" w:rsidRPr="00816648">
        <w:rPr>
          <w:b/>
        </w:rPr>
        <w:t>there might be some advantages to allowing immediate</w:t>
      </w:r>
      <w:r w:rsidR="00816648">
        <w:rPr>
          <w:b/>
        </w:rPr>
        <w:t>/early</w:t>
      </w:r>
      <w:r w:rsidR="00AD186F" w:rsidRPr="00816648">
        <w:rPr>
          <w:b/>
        </w:rPr>
        <w:t xml:space="preserve"> access</w:t>
      </w:r>
      <w:r w:rsidR="001E39F0">
        <w:t xml:space="preserve"> for generators to </w:t>
      </w:r>
      <w:r w:rsidR="00AD186F">
        <w:t>Backstop PPA</w:t>
      </w:r>
      <w:r w:rsidR="001E39F0">
        <w:t>s</w:t>
      </w:r>
      <w:r w:rsidR="00AD186F">
        <w:t>:</w:t>
      </w:r>
    </w:p>
    <w:p w:rsidR="00612789" w:rsidRDefault="00816648" w:rsidP="00041B34">
      <w:pPr>
        <w:pStyle w:val="ListParagraph"/>
        <w:numPr>
          <w:ilvl w:val="0"/>
          <w:numId w:val="18"/>
        </w:numPr>
      </w:pPr>
      <w:r>
        <w:t>If access is delayed, l</w:t>
      </w:r>
      <w:r w:rsidR="00612789">
        <w:t xml:space="preserve">enders </w:t>
      </w:r>
      <w:r w:rsidR="00FE6127">
        <w:t xml:space="preserve">may </w:t>
      </w:r>
      <w:r w:rsidR="00612789">
        <w:t xml:space="preserve">require generators to contract with offtakers for any period of output over which they were not </w:t>
      </w:r>
      <w:r w:rsidR="00362934">
        <w:t>able to obtain a</w:t>
      </w:r>
      <w:r w:rsidR="00612789">
        <w:t xml:space="preserve"> Backstop PPA, in order to </w:t>
      </w:r>
      <w:r w:rsidR="00AB532A">
        <w:t xml:space="preserve">secure </w:t>
      </w:r>
      <w:r w:rsidR="00612789">
        <w:t xml:space="preserve">revenues. </w:t>
      </w:r>
      <w:r w:rsidR="00041B34">
        <w:t xml:space="preserve">The </w:t>
      </w:r>
      <w:r w:rsidR="00BF1058" w:rsidRPr="00BF1058">
        <w:t xml:space="preserve">length of a delay could </w:t>
      </w:r>
      <w:r w:rsidR="00041B34">
        <w:t xml:space="preserve">in turn </w:t>
      </w:r>
      <w:r w:rsidR="00BF1058" w:rsidRPr="00BF1058">
        <w:t xml:space="preserve">dictate the length of </w:t>
      </w:r>
      <w:r w:rsidR="00C1506E">
        <w:t xml:space="preserve">initial </w:t>
      </w:r>
      <w:r w:rsidR="00BF1058" w:rsidRPr="00BF1058">
        <w:t xml:space="preserve">PPAs </w:t>
      </w:r>
      <w:r w:rsidR="00C1506E">
        <w:t>generators require, which could differ from what would be the case if backstop PPAs were available from the start of generators’ CfDs</w:t>
      </w:r>
      <w:r w:rsidR="00BF1058" w:rsidRPr="00BF1058">
        <w:t xml:space="preserve">.  </w:t>
      </w:r>
      <w:r w:rsidR="00612789">
        <w:t xml:space="preserve">Allowing generators access to </w:t>
      </w:r>
      <w:r w:rsidR="00362934">
        <w:t>a</w:t>
      </w:r>
      <w:r w:rsidR="00612789">
        <w:t xml:space="preserve"> Backstop PPA immediately </w:t>
      </w:r>
      <w:r w:rsidR="00AB532A">
        <w:t xml:space="preserve">may </w:t>
      </w:r>
      <w:r w:rsidR="00612789">
        <w:t>therefore provide</w:t>
      </w:r>
      <w:r w:rsidR="00AB532A">
        <w:t xml:space="preserve"> greater</w:t>
      </w:r>
      <w:r w:rsidR="00612789">
        <w:t xml:space="preserve"> flexibility to developers and generators over their contracting strategies</w:t>
      </w:r>
      <w:r w:rsidR="006F74E9">
        <w:t>, reflecting the level of exposure that they are willing to accept above the backstop discount</w:t>
      </w:r>
      <w:r w:rsidR="00612789">
        <w:t>.</w:t>
      </w:r>
      <w:r w:rsidR="00041B34">
        <w:t xml:space="preserve">  </w:t>
      </w:r>
      <w:r w:rsidR="00041B34" w:rsidRPr="00041B34">
        <w:t xml:space="preserve">The longer the period of delay before generators have access to the OLR, the </w:t>
      </w:r>
      <w:r w:rsidR="00041B34">
        <w:t>fewer</w:t>
      </w:r>
      <w:r w:rsidR="00041B34" w:rsidRPr="00041B34">
        <w:t xml:space="preserve"> the number of </w:t>
      </w:r>
      <w:r w:rsidR="00041B34">
        <w:t xml:space="preserve">credit-worthy </w:t>
      </w:r>
      <w:r w:rsidR="00041B34" w:rsidRPr="00041B34">
        <w:t xml:space="preserve">offtakers in a position to offer such PPAs. </w:t>
      </w:r>
    </w:p>
    <w:p w:rsidR="00AD186F" w:rsidRDefault="0090149B" w:rsidP="00AD186F">
      <w:pPr>
        <w:pStyle w:val="ListParagraph"/>
        <w:numPr>
          <w:ilvl w:val="0"/>
          <w:numId w:val="18"/>
        </w:numPr>
      </w:pPr>
      <w:r>
        <w:t>Furthermore, a</w:t>
      </w:r>
      <w:r w:rsidR="00AD186F">
        <w:t xml:space="preserve"> generator might be able to secure investment at FID on the OLR alone without having to contract for power (at a cost) pre-construction</w:t>
      </w:r>
      <w:r w:rsidR="00253D69">
        <w:t>, with the intention of refinancing post-construction once a PPA is in place</w:t>
      </w:r>
      <w:r w:rsidR="00AD186F">
        <w:t xml:space="preserve">.  This would allow a PPA for power to be signed much closer to commissioning, potentially on better terms.  </w:t>
      </w:r>
      <w:r w:rsidR="00253D69">
        <w:t>S</w:t>
      </w:r>
      <w:r w:rsidR="00AD186F">
        <w:t xml:space="preserve">uch an approach would limit the amount of debt that a project </w:t>
      </w:r>
      <w:r w:rsidR="00253D69">
        <w:t xml:space="preserve">could obtain </w:t>
      </w:r>
      <w:r w:rsidR="00AD186F">
        <w:t>when compared against an alternative where power was contracted pre-FID</w:t>
      </w:r>
      <w:r>
        <w:t xml:space="preserve"> at smaller discount than provided by the backstop</w:t>
      </w:r>
      <w:r w:rsidR="00253D69">
        <w:t>, although some developers might be able to equity-finance the project initially and refinance nearer commissioning when they had a PPA in place</w:t>
      </w:r>
      <w:r w:rsidR="00AD186F">
        <w:t>.</w:t>
      </w:r>
    </w:p>
    <w:p w:rsidR="000B006B" w:rsidRDefault="00362934" w:rsidP="000B006B">
      <w:pPr>
        <w:pStyle w:val="ListParagraph"/>
        <w:numPr>
          <w:ilvl w:val="0"/>
          <w:numId w:val="18"/>
        </w:numPr>
      </w:pPr>
      <w:r>
        <w:t xml:space="preserve">Access to Backstop PPAs </w:t>
      </w:r>
      <w:r w:rsidR="00612789">
        <w:t>would underwrite the PPAs attained by generators</w:t>
      </w:r>
      <w:r w:rsidR="0090149B">
        <w:t xml:space="preserve"> during this initial phase</w:t>
      </w:r>
      <w:r w:rsidR="00612789">
        <w:t>,</w:t>
      </w:r>
      <w:r w:rsidR="001F6952">
        <w:t xml:space="preserve"> which may allow generators to use less well-established counterparties as the </w:t>
      </w:r>
      <w:r>
        <w:t>Backstop</w:t>
      </w:r>
      <w:r w:rsidR="001F6952">
        <w:t xml:space="preserve"> would provide </w:t>
      </w:r>
      <w:r w:rsidR="00612789">
        <w:t xml:space="preserve">protection in the unlikely event of </w:t>
      </w:r>
      <w:proofErr w:type="spellStart"/>
      <w:r w:rsidR="00612789">
        <w:t>offtaker</w:t>
      </w:r>
      <w:proofErr w:type="spellEnd"/>
      <w:r w:rsidR="00612789">
        <w:t xml:space="preserve"> default</w:t>
      </w:r>
      <w:r w:rsidR="0090149B">
        <w:t>.</w:t>
      </w:r>
    </w:p>
    <w:p w:rsidR="003105DE" w:rsidRDefault="00E5119A" w:rsidP="00A87F0F">
      <w:pPr>
        <w:pBdr>
          <w:top w:val="single" w:sz="4" w:space="1" w:color="auto"/>
          <w:left w:val="single" w:sz="4" w:space="4" w:color="auto"/>
          <w:bottom w:val="single" w:sz="4" w:space="1" w:color="auto"/>
          <w:right w:val="single" w:sz="4" w:space="4" w:color="auto"/>
        </w:pBdr>
        <w:tabs>
          <w:tab w:val="left" w:pos="1985"/>
        </w:tabs>
        <w:ind w:left="426" w:hanging="426"/>
      </w:pPr>
      <w:r>
        <w:t>Q4</w:t>
      </w:r>
      <w:r w:rsidR="008F69F5">
        <w:t>:  Do</w:t>
      </w:r>
      <w:r w:rsidR="001F6952">
        <w:t>es</w:t>
      </w:r>
      <w:r w:rsidR="008F69F5">
        <w:t xml:space="preserve"> the group </w:t>
      </w:r>
      <w:r w:rsidR="001F6952">
        <w:t xml:space="preserve">think there are potential benefits from </w:t>
      </w:r>
      <w:r w:rsidR="008F69F5">
        <w:t xml:space="preserve">allowing </w:t>
      </w:r>
      <w:r w:rsidR="001F6952">
        <w:t xml:space="preserve">generators </w:t>
      </w:r>
      <w:r w:rsidR="00362934">
        <w:t xml:space="preserve">access to Backstop PPAs </w:t>
      </w:r>
      <w:r w:rsidR="001F6952">
        <w:t xml:space="preserve">from </w:t>
      </w:r>
      <w:r w:rsidR="00C17723">
        <w:t>the point at which their CfD starts</w:t>
      </w:r>
      <w:r w:rsidR="000B006B">
        <w:t>?</w:t>
      </w:r>
      <w:r w:rsidR="00882C60">
        <w:t xml:space="preserve"> </w:t>
      </w:r>
    </w:p>
    <w:p w:rsidR="00DE79E6" w:rsidRDefault="00DE79E6" w:rsidP="009576B0"/>
    <w:sectPr w:rsidR="00DE79E6" w:rsidSect="00CC5367">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332" w:rsidRDefault="00997332" w:rsidP="005A0ACF">
      <w:pPr>
        <w:spacing w:after="0" w:line="240" w:lineRule="auto"/>
      </w:pPr>
      <w:r>
        <w:separator/>
      </w:r>
    </w:p>
  </w:endnote>
  <w:endnote w:type="continuationSeparator" w:id="0">
    <w:p w:rsidR="00997332" w:rsidRDefault="00997332" w:rsidP="005A0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ill Sans MT">
    <w:altName w:val="Segoe UI"/>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30B" w:rsidRDefault="006863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613241"/>
      <w:docPartObj>
        <w:docPartGallery w:val="Page Numbers (Bottom of Page)"/>
        <w:docPartUnique/>
      </w:docPartObj>
    </w:sdtPr>
    <w:sdtEndPr>
      <w:rPr>
        <w:noProof/>
      </w:rPr>
    </w:sdtEndPr>
    <w:sdtContent>
      <w:p w:rsidR="00AA05B8" w:rsidRDefault="00AA05B8">
        <w:pPr>
          <w:pStyle w:val="Footer"/>
          <w:jc w:val="right"/>
        </w:pPr>
        <w:r>
          <w:fldChar w:fldCharType="begin"/>
        </w:r>
        <w:r>
          <w:instrText xml:space="preserve"> PAGE   \* MERGEFORMAT </w:instrText>
        </w:r>
        <w:r>
          <w:fldChar w:fldCharType="separate"/>
        </w:r>
        <w:r w:rsidR="0068630B">
          <w:rPr>
            <w:noProof/>
          </w:rPr>
          <w:t>1</w:t>
        </w:r>
        <w:r>
          <w:rPr>
            <w:noProof/>
          </w:rPr>
          <w:fldChar w:fldCharType="end"/>
        </w:r>
      </w:p>
    </w:sdtContent>
  </w:sdt>
  <w:p w:rsidR="00AA05B8" w:rsidRDefault="00AA05B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30B" w:rsidRDefault="006863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332" w:rsidRDefault="00997332" w:rsidP="005A0ACF">
      <w:pPr>
        <w:spacing w:after="0" w:line="240" w:lineRule="auto"/>
      </w:pPr>
      <w:r>
        <w:separator/>
      </w:r>
    </w:p>
  </w:footnote>
  <w:footnote w:type="continuationSeparator" w:id="0">
    <w:p w:rsidR="00997332" w:rsidRDefault="00997332" w:rsidP="005A0ACF">
      <w:pPr>
        <w:spacing w:after="0" w:line="240" w:lineRule="auto"/>
      </w:pPr>
      <w:r>
        <w:continuationSeparator/>
      </w:r>
    </w:p>
  </w:footnote>
  <w:footnote w:id="1">
    <w:p w:rsidR="00AA05B8" w:rsidRPr="0015274D" w:rsidRDefault="00AA05B8">
      <w:pPr>
        <w:pStyle w:val="FootnoteText"/>
        <w:rPr>
          <w:sz w:val="16"/>
          <w:lang w:val="en-GB"/>
        </w:rPr>
      </w:pPr>
      <w:r>
        <w:rPr>
          <w:rStyle w:val="FootnoteReference"/>
        </w:rPr>
        <w:footnoteRef/>
      </w:r>
      <w:r>
        <w:t xml:space="preserve"> </w:t>
      </w:r>
      <w:r>
        <w:rPr>
          <w:sz w:val="16"/>
        </w:rPr>
        <w:t>From the point at which the project’s CfD starts.</w:t>
      </w:r>
    </w:p>
  </w:footnote>
  <w:footnote w:id="2">
    <w:p w:rsidR="00AA05B8" w:rsidRPr="002B629A" w:rsidRDefault="00AA05B8" w:rsidP="003E5BB1">
      <w:pPr>
        <w:pStyle w:val="FootnoteText"/>
        <w:rPr>
          <w:sz w:val="16"/>
          <w:lang w:val="en-GB"/>
        </w:rPr>
      </w:pPr>
      <w:r>
        <w:rPr>
          <w:rStyle w:val="FootnoteReference"/>
        </w:rPr>
        <w:footnoteRef/>
      </w:r>
      <w:r>
        <w:t xml:space="preserve"> </w:t>
      </w:r>
      <w:r>
        <w:rPr>
          <w:sz w:val="16"/>
          <w:lang w:val="en-GB"/>
        </w:rPr>
        <w:t>The issue of the structure of the backstop discount will be discussed in the Pricing paper.  An alternative approach would be one in which the discount is profiled to increase over time.</w:t>
      </w:r>
    </w:p>
  </w:footnote>
  <w:footnote w:id="3">
    <w:p w:rsidR="00AA05B8" w:rsidRPr="00804268" w:rsidRDefault="00AA05B8">
      <w:pPr>
        <w:pStyle w:val="FootnoteText"/>
        <w:rPr>
          <w:lang w:val="en-GB"/>
        </w:rPr>
      </w:pPr>
      <w:r>
        <w:rPr>
          <w:rStyle w:val="FootnoteReference"/>
        </w:rPr>
        <w:footnoteRef/>
      </w:r>
      <w:r>
        <w:t xml:space="preserve"> </w:t>
      </w:r>
      <w:r w:rsidRPr="005D310B">
        <w:rPr>
          <w:sz w:val="16"/>
          <w:szCs w:val="16"/>
        </w:rPr>
        <w:t>U</w:t>
      </w:r>
      <w:proofErr w:type="spellStart"/>
      <w:r w:rsidRPr="005D310B">
        <w:rPr>
          <w:sz w:val="16"/>
          <w:szCs w:val="16"/>
          <w:lang w:val="en-GB"/>
        </w:rPr>
        <w:t>nder</w:t>
      </w:r>
      <w:proofErr w:type="spellEnd"/>
      <w:r w:rsidRPr="00C17723">
        <w:rPr>
          <w:sz w:val="16"/>
          <w:lang w:val="en-GB"/>
        </w:rPr>
        <w:t xml:space="preserve"> a ‘no-delay’ approach, generators would be able to apply for a Backstop PPA from the point at which their CfD contract </w:t>
      </w:r>
      <w:r>
        <w:rPr>
          <w:sz w:val="16"/>
          <w:lang w:val="en-GB"/>
        </w:rPr>
        <w:t>starts</w:t>
      </w:r>
      <w:r w:rsidRPr="00C17723">
        <w:rPr>
          <w:sz w:val="16"/>
          <w:lang w:val="en-GB"/>
        </w:rPr>
        <w:t>.</w:t>
      </w:r>
    </w:p>
  </w:footnote>
  <w:footnote w:id="4">
    <w:p w:rsidR="00AA05B8" w:rsidRPr="00C17723" w:rsidRDefault="00AA05B8">
      <w:pPr>
        <w:pStyle w:val="FootnoteText"/>
        <w:rPr>
          <w:sz w:val="16"/>
          <w:lang w:val="en-GB"/>
        </w:rPr>
      </w:pPr>
      <w:r w:rsidRPr="00E5119A">
        <w:rPr>
          <w:rStyle w:val="FootnoteReference"/>
        </w:rPr>
        <w:footnoteRef/>
      </w:r>
      <w:r w:rsidRPr="00E5119A">
        <w:t xml:space="preserve"> </w:t>
      </w:r>
      <w:r w:rsidR="00E5119A">
        <w:rPr>
          <w:sz w:val="16"/>
          <w:lang w:val="en-GB"/>
        </w:rPr>
        <w:t>S</w:t>
      </w:r>
      <w:r w:rsidR="00E5119A" w:rsidRPr="00E5119A">
        <w:rPr>
          <w:sz w:val="16"/>
          <w:lang w:val="en-GB"/>
        </w:rPr>
        <w:t>ee Baringa supporting paper 1A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30B" w:rsidRDefault="006863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5B8" w:rsidRPr="00804C8B" w:rsidRDefault="00AA05B8" w:rsidP="002D3C56">
    <w:pPr>
      <w:pStyle w:val="Header"/>
      <w:rPr>
        <w:rFonts w:cstheme="minorHAnsi"/>
        <w:b/>
      </w:rPr>
    </w:pPr>
    <w:r>
      <w:rPr>
        <w:rFonts w:cstheme="minorHAnsi"/>
        <w:b/>
      </w:rPr>
      <w:t>O</w:t>
    </w:r>
    <w:r w:rsidR="0068630B">
      <w:rPr>
        <w:rFonts w:cstheme="minorHAnsi"/>
        <w:b/>
      </w:rPr>
      <w:t xml:space="preserve">LRAG </w:t>
    </w:r>
    <w:r w:rsidR="0068630B">
      <w:rPr>
        <w:rFonts w:cstheme="minorHAnsi"/>
        <w:b/>
      </w:rPr>
      <w:t>3.1</w:t>
    </w:r>
    <w:bookmarkStart w:id="0" w:name="_GoBack"/>
    <w:bookmarkEnd w:id="0"/>
    <w:r>
      <w:rPr>
        <w:rFonts w:cstheme="minorHAnsi"/>
        <w:b/>
      </w:rPr>
      <w:t xml:space="preserve"> - Timing of Access</w:t>
    </w:r>
    <w:r w:rsidRPr="00804C8B">
      <w:rPr>
        <w:rFonts w:cstheme="minorHAnsi"/>
        <w:b/>
      </w:rPr>
      <w:tab/>
      <w:t>DRAFT FOR DISCUSSION</w:t>
    </w:r>
    <w:r w:rsidRPr="00804C8B">
      <w:rPr>
        <w:rFonts w:cstheme="minorHAnsi"/>
        <w:b/>
      </w:rPr>
      <w:tab/>
    </w:r>
    <w:r>
      <w:rPr>
        <w:rFonts w:cstheme="minorHAnsi"/>
        <w:b/>
      </w:rPr>
      <w:t>06 November</w:t>
    </w:r>
    <w:r w:rsidRPr="00804C8B">
      <w:rPr>
        <w:rFonts w:cstheme="minorHAnsi"/>
        <w:b/>
      </w:rPr>
      <w:t xml:space="preserve"> 2013</w:t>
    </w:r>
  </w:p>
  <w:p w:rsidR="00AA05B8" w:rsidRDefault="00AA05B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30B" w:rsidRDefault="006863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0.45pt;height:127.25pt" o:bullet="t">
        <v:imagedata r:id="rId1" o:title="blue_bullet"/>
      </v:shape>
    </w:pict>
  </w:numPicBullet>
  <w:abstractNum w:abstractNumId="0">
    <w:nsid w:val="02760AD9"/>
    <w:multiLevelType w:val="hybridMultilevel"/>
    <w:tmpl w:val="A16411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7F3A28"/>
    <w:multiLevelType w:val="hybridMultilevel"/>
    <w:tmpl w:val="B22E07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7E6139B"/>
    <w:multiLevelType w:val="hybridMultilevel"/>
    <w:tmpl w:val="8EDE413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18BA5456"/>
    <w:multiLevelType w:val="hybridMultilevel"/>
    <w:tmpl w:val="3D321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AA14680"/>
    <w:multiLevelType w:val="hybridMultilevel"/>
    <w:tmpl w:val="C9381A3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C47735D"/>
    <w:multiLevelType w:val="hybridMultilevel"/>
    <w:tmpl w:val="1E7E2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D7950D1"/>
    <w:multiLevelType w:val="multilevel"/>
    <w:tmpl w:val="8F9CFADC"/>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color w:val="auto"/>
      </w:rPr>
    </w:lvl>
    <w:lvl w:ilvl="2">
      <w:start w:val="1"/>
      <w:numFmt w:val="lowerRoman"/>
      <w:lvlText w:val="%3."/>
      <w:lvlJc w:val="right"/>
      <w:pPr>
        <w:ind w:left="1224" w:hanging="504"/>
      </w:pPr>
      <w:rPr>
        <w:rFonts w:hint="default"/>
      </w:rPr>
    </w:lvl>
    <w:lvl w:ilvl="3">
      <w:start w:val="1"/>
      <w:numFmt w:val="lowerLetter"/>
      <w:lvlText w:val="%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bullet"/>
      <w:lvlText w:val="o"/>
      <w:lvlJc w:val="left"/>
      <w:pPr>
        <w:ind w:left="2736" w:hanging="936"/>
      </w:pPr>
      <w:rPr>
        <w:rFonts w:ascii="Courier New" w:hAnsi="Courier New" w:cs="Courier New"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5880AE4"/>
    <w:multiLevelType w:val="hybridMultilevel"/>
    <w:tmpl w:val="DC7623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4611D97"/>
    <w:multiLevelType w:val="hybridMultilevel"/>
    <w:tmpl w:val="B65684BA"/>
    <w:lvl w:ilvl="0" w:tplc="08090001">
      <w:start w:val="1"/>
      <w:numFmt w:val="bullet"/>
      <w:lvlText w:val=""/>
      <w:lvlJc w:val="left"/>
      <w:pPr>
        <w:ind w:left="720" w:hanging="360"/>
      </w:pPr>
      <w:rPr>
        <w:rFonts w:ascii="Symbol" w:hAnsi="Symbol" w:hint="default"/>
        <w:b w:val="0"/>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180"/>
      </w:pPr>
      <w:rPr>
        <w:rFonts w:ascii="Wingdings" w:hAnsi="Wingding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E9352CD"/>
    <w:multiLevelType w:val="hybridMultilevel"/>
    <w:tmpl w:val="6EFE66E0"/>
    <w:lvl w:ilvl="0" w:tplc="67F82FC0">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44F5246"/>
    <w:multiLevelType w:val="hybridMultilevel"/>
    <w:tmpl w:val="309C571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49993439"/>
    <w:multiLevelType w:val="hybridMultilevel"/>
    <w:tmpl w:val="F07EB56E"/>
    <w:lvl w:ilvl="0" w:tplc="08090001">
      <w:start w:val="1"/>
      <w:numFmt w:val="bullet"/>
      <w:lvlText w:val=""/>
      <w:lvlJc w:val="left"/>
      <w:pPr>
        <w:ind w:left="1080" w:hanging="360"/>
      </w:pPr>
      <w:rPr>
        <w:rFonts w:ascii="Symbol" w:hAnsi="Symbol" w:hint="default"/>
        <w:b w:val="0"/>
      </w:rPr>
    </w:lvl>
    <w:lvl w:ilvl="1" w:tplc="08090001">
      <w:start w:val="1"/>
      <w:numFmt w:val="bullet"/>
      <w:lvlText w:val=""/>
      <w:lvlJc w:val="left"/>
      <w:pPr>
        <w:ind w:left="1800" w:hanging="360"/>
      </w:pPr>
      <w:rPr>
        <w:rFonts w:ascii="Symbol" w:hAnsi="Symbol" w:hint="default"/>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51C8199A"/>
    <w:multiLevelType w:val="hybridMultilevel"/>
    <w:tmpl w:val="B61A94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2A84EDD"/>
    <w:multiLevelType w:val="hybridMultilevel"/>
    <w:tmpl w:val="841C9D0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54480B4E"/>
    <w:multiLevelType w:val="hybridMultilevel"/>
    <w:tmpl w:val="A3A808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6013DCD"/>
    <w:multiLevelType w:val="hybridMultilevel"/>
    <w:tmpl w:val="396A0A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6C751C2"/>
    <w:multiLevelType w:val="multilevel"/>
    <w:tmpl w:val="AD121772"/>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b w:val="0"/>
        <w:color w:val="auto"/>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72E590C"/>
    <w:multiLevelType w:val="hybridMultilevel"/>
    <w:tmpl w:val="C9CC0A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91A7EA1"/>
    <w:multiLevelType w:val="hybridMultilevel"/>
    <w:tmpl w:val="8DA6C3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1960BF6"/>
    <w:multiLevelType w:val="hybridMultilevel"/>
    <w:tmpl w:val="152C7F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nsid w:val="679F0043"/>
    <w:multiLevelType w:val="hybridMultilevel"/>
    <w:tmpl w:val="5B2E625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68E56C4A"/>
    <w:multiLevelType w:val="hybridMultilevel"/>
    <w:tmpl w:val="22323A6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2">
    <w:nsid w:val="6D120903"/>
    <w:multiLevelType w:val="hybridMultilevel"/>
    <w:tmpl w:val="F7CCF174"/>
    <w:lvl w:ilvl="0" w:tplc="EAB83FC6">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00369CB"/>
    <w:multiLevelType w:val="hybridMultilevel"/>
    <w:tmpl w:val="D6C49922"/>
    <w:lvl w:ilvl="0" w:tplc="08AADA2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09011EC"/>
    <w:multiLevelType w:val="hybridMultilevel"/>
    <w:tmpl w:val="658E6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1735EA"/>
    <w:multiLevelType w:val="hybridMultilevel"/>
    <w:tmpl w:val="4482958A"/>
    <w:lvl w:ilvl="0" w:tplc="08090003">
      <w:start w:val="1"/>
      <w:numFmt w:val="bullet"/>
      <w:lvlText w:val="o"/>
      <w:lvlJc w:val="left"/>
      <w:pPr>
        <w:ind w:left="1080" w:hanging="360"/>
      </w:pPr>
      <w:rPr>
        <w:rFonts w:ascii="Courier New" w:hAnsi="Courier New" w:cs="Courier New" w:hint="default"/>
        <w:b w:val="0"/>
      </w:rPr>
    </w:lvl>
    <w:lvl w:ilvl="1" w:tplc="0809000D">
      <w:start w:val="1"/>
      <w:numFmt w:val="bullet"/>
      <w:lvlText w:val=""/>
      <w:lvlJc w:val="left"/>
      <w:pPr>
        <w:ind w:left="1800" w:hanging="360"/>
      </w:pPr>
      <w:rPr>
        <w:rFonts w:ascii="Wingdings" w:hAnsi="Wingdings" w:hint="default"/>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7D655B51"/>
    <w:multiLevelType w:val="hybridMultilevel"/>
    <w:tmpl w:val="D164A0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6"/>
  </w:num>
  <w:num w:numId="2">
    <w:abstractNumId w:val="11"/>
  </w:num>
  <w:num w:numId="3">
    <w:abstractNumId w:val="16"/>
  </w:num>
  <w:num w:numId="4">
    <w:abstractNumId w:val="9"/>
  </w:num>
  <w:num w:numId="5">
    <w:abstractNumId w:val="25"/>
  </w:num>
  <w:num w:numId="6">
    <w:abstractNumId w:val="10"/>
  </w:num>
  <w:num w:numId="7">
    <w:abstractNumId w:val="26"/>
  </w:num>
  <w:num w:numId="8">
    <w:abstractNumId w:val="2"/>
  </w:num>
  <w:num w:numId="9">
    <w:abstractNumId w:val="8"/>
  </w:num>
  <w:num w:numId="10">
    <w:abstractNumId w:val="20"/>
  </w:num>
  <w:num w:numId="11">
    <w:abstractNumId w:val="24"/>
  </w:num>
  <w:num w:numId="12">
    <w:abstractNumId w:val="18"/>
  </w:num>
  <w:num w:numId="13">
    <w:abstractNumId w:val="14"/>
  </w:num>
  <w:num w:numId="14">
    <w:abstractNumId w:val="4"/>
  </w:num>
  <w:num w:numId="15">
    <w:abstractNumId w:val="0"/>
  </w:num>
  <w:num w:numId="16">
    <w:abstractNumId w:val="12"/>
  </w:num>
  <w:num w:numId="17">
    <w:abstractNumId w:val="5"/>
  </w:num>
  <w:num w:numId="18">
    <w:abstractNumId w:val="7"/>
  </w:num>
  <w:num w:numId="19">
    <w:abstractNumId w:val="13"/>
  </w:num>
  <w:num w:numId="20">
    <w:abstractNumId w:val="15"/>
  </w:num>
  <w:num w:numId="21">
    <w:abstractNumId w:val="19"/>
  </w:num>
  <w:num w:numId="22">
    <w:abstractNumId w:val="3"/>
  </w:num>
  <w:num w:numId="23">
    <w:abstractNumId w:val="17"/>
  </w:num>
  <w:num w:numId="24">
    <w:abstractNumId w:val="18"/>
  </w:num>
  <w:num w:numId="25">
    <w:abstractNumId w:val="1"/>
  </w:num>
  <w:num w:numId="26">
    <w:abstractNumId w:val="21"/>
  </w:num>
  <w:num w:numId="27">
    <w:abstractNumId w:val="22"/>
  </w:num>
  <w:num w:numId="28">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6E8"/>
    <w:rsid w:val="00010299"/>
    <w:rsid w:val="00011751"/>
    <w:rsid w:val="00013F64"/>
    <w:rsid w:val="000150C4"/>
    <w:rsid w:val="0001515E"/>
    <w:rsid w:val="000225C5"/>
    <w:rsid w:val="00025930"/>
    <w:rsid w:val="00030BFC"/>
    <w:rsid w:val="00033D6B"/>
    <w:rsid w:val="00040C45"/>
    <w:rsid w:val="00041B34"/>
    <w:rsid w:val="000437BF"/>
    <w:rsid w:val="00047260"/>
    <w:rsid w:val="00050E4B"/>
    <w:rsid w:val="00054FD9"/>
    <w:rsid w:val="0005532F"/>
    <w:rsid w:val="0005679A"/>
    <w:rsid w:val="00063461"/>
    <w:rsid w:val="000638B8"/>
    <w:rsid w:val="00067126"/>
    <w:rsid w:val="00070CA4"/>
    <w:rsid w:val="00076997"/>
    <w:rsid w:val="0007776B"/>
    <w:rsid w:val="0008234B"/>
    <w:rsid w:val="00083D29"/>
    <w:rsid w:val="00083F25"/>
    <w:rsid w:val="0008468F"/>
    <w:rsid w:val="00084D95"/>
    <w:rsid w:val="00085AE2"/>
    <w:rsid w:val="00087C15"/>
    <w:rsid w:val="00092B0A"/>
    <w:rsid w:val="00093513"/>
    <w:rsid w:val="00097377"/>
    <w:rsid w:val="000A1E4C"/>
    <w:rsid w:val="000A3A1B"/>
    <w:rsid w:val="000A6456"/>
    <w:rsid w:val="000A6C21"/>
    <w:rsid w:val="000B006B"/>
    <w:rsid w:val="000B557B"/>
    <w:rsid w:val="000C1A5F"/>
    <w:rsid w:val="000C2045"/>
    <w:rsid w:val="000D1641"/>
    <w:rsid w:val="000D69A8"/>
    <w:rsid w:val="000E05A1"/>
    <w:rsid w:val="000E51C2"/>
    <w:rsid w:val="000F6ADF"/>
    <w:rsid w:val="000F6FA9"/>
    <w:rsid w:val="00100F10"/>
    <w:rsid w:val="00101688"/>
    <w:rsid w:val="00102729"/>
    <w:rsid w:val="00104DC7"/>
    <w:rsid w:val="00106EFE"/>
    <w:rsid w:val="00110B11"/>
    <w:rsid w:val="00110B4D"/>
    <w:rsid w:val="00112015"/>
    <w:rsid w:val="00122A5D"/>
    <w:rsid w:val="0012383D"/>
    <w:rsid w:val="00125DF7"/>
    <w:rsid w:val="00131DE4"/>
    <w:rsid w:val="00132FCA"/>
    <w:rsid w:val="00135403"/>
    <w:rsid w:val="00137973"/>
    <w:rsid w:val="00142C3D"/>
    <w:rsid w:val="001432E3"/>
    <w:rsid w:val="00150529"/>
    <w:rsid w:val="0015097C"/>
    <w:rsid w:val="0015274D"/>
    <w:rsid w:val="00155A98"/>
    <w:rsid w:val="00157F2B"/>
    <w:rsid w:val="00164232"/>
    <w:rsid w:val="00164CAC"/>
    <w:rsid w:val="00167E73"/>
    <w:rsid w:val="00171711"/>
    <w:rsid w:val="0017327C"/>
    <w:rsid w:val="001735FD"/>
    <w:rsid w:val="0017549C"/>
    <w:rsid w:val="001764A9"/>
    <w:rsid w:val="0018038A"/>
    <w:rsid w:val="001820B0"/>
    <w:rsid w:val="001854DF"/>
    <w:rsid w:val="0019066F"/>
    <w:rsid w:val="0019531D"/>
    <w:rsid w:val="0019674E"/>
    <w:rsid w:val="0019725F"/>
    <w:rsid w:val="001A17AC"/>
    <w:rsid w:val="001A1F30"/>
    <w:rsid w:val="001A2E06"/>
    <w:rsid w:val="001A35F9"/>
    <w:rsid w:val="001A68FD"/>
    <w:rsid w:val="001A7721"/>
    <w:rsid w:val="001B001D"/>
    <w:rsid w:val="001B1D5E"/>
    <w:rsid w:val="001B3606"/>
    <w:rsid w:val="001B593F"/>
    <w:rsid w:val="001C107F"/>
    <w:rsid w:val="001C17CB"/>
    <w:rsid w:val="001C4AAF"/>
    <w:rsid w:val="001C5D64"/>
    <w:rsid w:val="001D1093"/>
    <w:rsid w:val="001D236E"/>
    <w:rsid w:val="001D3674"/>
    <w:rsid w:val="001D3A83"/>
    <w:rsid w:val="001E0F8B"/>
    <w:rsid w:val="001E39F0"/>
    <w:rsid w:val="001E4CD1"/>
    <w:rsid w:val="001E5F4E"/>
    <w:rsid w:val="001E69B8"/>
    <w:rsid w:val="001F3377"/>
    <w:rsid w:val="001F4965"/>
    <w:rsid w:val="001F6952"/>
    <w:rsid w:val="001F75E2"/>
    <w:rsid w:val="0020090F"/>
    <w:rsid w:val="00202C6D"/>
    <w:rsid w:val="00203463"/>
    <w:rsid w:val="00203A36"/>
    <w:rsid w:val="0020522E"/>
    <w:rsid w:val="00205401"/>
    <w:rsid w:val="00205D21"/>
    <w:rsid w:val="00206749"/>
    <w:rsid w:val="00206A5E"/>
    <w:rsid w:val="002078C5"/>
    <w:rsid w:val="0021039D"/>
    <w:rsid w:val="00212A7B"/>
    <w:rsid w:val="00212C70"/>
    <w:rsid w:val="0021355D"/>
    <w:rsid w:val="00214CBF"/>
    <w:rsid w:val="00216C44"/>
    <w:rsid w:val="002207C8"/>
    <w:rsid w:val="002208FD"/>
    <w:rsid w:val="002337D2"/>
    <w:rsid w:val="00237613"/>
    <w:rsid w:val="00240731"/>
    <w:rsid w:val="00246EE6"/>
    <w:rsid w:val="002477C2"/>
    <w:rsid w:val="002508A8"/>
    <w:rsid w:val="00253D69"/>
    <w:rsid w:val="00260D1A"/>
    <w:rsid w:val="00261847"/>
    <w:rsid w:val="002622F4"/>
    <w:rsid w:val="002634A0"/>
    <w:rsid w:val="002705DE"/>
    <w:rsid w:val="00274D4D"/>
    <w:rsid w:val="0028189D"/>
    <w:rsid w:val="00281A41"/>
    <w:rsid w:val="00286B58"/>
    <w:rsid w:val="00292C51"/>
    <w:rsid w:val="002A180E"/>
    <w:rsid w:val="002A2284"/>
    <w:rsid w:val="002A72AE"/>
    <w:rsid w:val="002A782A"/>
    <w:rsid w:val="002A7EB8"/>
    <w:rsid w:val="002B058B"/>
    <w:rsid w:val="002B5CAE"/>
    <w:rsid w:val="002B629A"/>
    <w:rsid w:val="002D3C56"/>
    <w:rsid w:val="002E7615"/>
    <w:rsid w:val="002F3ACC"/>
    <w:rsid w:val="002F42D0"/>
    <w:rsid w:val="002F51B6"/>
    <w:rsid w:val="002F5876"/>
    <w:rsid w:val="002F62C3"/>
    <w:rsid w:val="00306BE8"/>
    <w:rsid w:val="003105DE"/>
    <w:rsid w:val="0031532C"/>
    <w:rsid w:val="003170CF"/>
    <w:rsid w:val="003220F5"/>
    <w:rsid w:val="0032531E"/>
    <w:rsid w:val="00326448"/>
    <w:rsid w:val="003266ED"/>
    <w:rsid w:val="00335515"/>
    <w:rsid w:val="00340729"/>
    <w:rsid w:val="00342BD6"/>
    <w:rsid w:val="003460F0"/>
    <w:rsid w:val="00352E13"/>
    <w:rsid w:val="00362934"/>
    <w:rsid w:val="00363E88"/>
    <w:rsid w:val="00372055"/>
    <w:rsid w:val="003744D5"/>
    <w:rsid w:val="00374930"/>
    <w:rsid w:val="00374A05"/>
    <w:rsid w:val="00383BF3"/>
    <w:rsid w:val="0038665F"/>
    <w:rsid w:val="003907D6"/>
    <w:rsid w:val="00391974"/>
    <w:rsid w:val="00391B55"/>
    <w:rsid w:val="00393F19"/>
    <w:rsid w:val="00396B77"/>
    <w:rsid w:val="003978C8"/>
    <w:rsid w:val="003A7B6A"/>
    <w:rsid w:val="003B6A9E"/>
    <w:rsid w:val="003B7309"/>
    <w:rsid w:val="003B7763"/>
    <w:rsid w:val="003C11FF"/>
    <w:rsid w:val="003C1F1D"/>
    <w:rsid w:val="003C61BE"/>
    <w:rsid w:val="003C637D"/>
    <w:rsid w:val="003D07CC"/>
    <w:rsid w:val="003D1145"/>
    <w:rsid w:val="003D115A"/>
    <w:rsid w:val="003D206D"/>
    <w:rsid w:val="003D2721"/>
    <w:rsid w:val="003D567E"/>
    <w:rsid w:val="003D5B04"/>
    <w:rsid w:val="003D66CB"/>
    <w:rsid w:val="003E2108"/>
    <w:rsid w:val="003E349B"/>
    <w:rsid w:val="003E4277"/>
    <w:rsid w:val="003E5BB1"/>
    <w:rsid w:val="003F1444"/>
    <w:rsid w:val="00400576"/>
    <w:rsid w:val="004031AC"/>
    <w:rsid w:val="00404C59"/>
    <w:rsid w:val="00410938"/>
    <w:rsid w:val="00414500"/>
    <w:rsid w:val="00420B91"/>
    <w:rsid w:val="00421785"/>
    <w:rsid w:val="00422A06"/>
    <w:rsid w:val="004237F5"/>
    <w:rsid w:val="00425C72"/>
    <w:rsid w:val="00426AA0"/>
    <w:rsid w:val="00434196"/>
    <w:rsid w:val="004376EC"/>
    <w:rsid w:val="00440ABA"/>
    <w:rsid w:val="00443E5C"/>
    <w:rsid w:val="004466F6"/>
    <w:rsid w:val="0045159E"/>
    <w:rsid w:val="004564AC"/>
    <w:rsid w:val="00460937"/>
    <w:rsid w:val="00461DA6"/>
    <w:rsid w:val="00463128"/>
    <w:rsid w:val="00465D25"/>
    <w:rsid w:val="00482D1A"/>
    <w:rsid w:val="00484618"/>
    <w:rsid w:val="0048543F"/>
    <w:rsid w:val="00486309"/>
    <w:rsid w:val="004917A5"/>
    <w:rsid w:val="00491B7F"/>
    <w:rsid w:val="00491EE1"/>
    <w:rsid w:val="0049798F"/>
    <w:rsid w:val="00497DCA"/>
    <w:rsid w:val="004A0192"/>
    <w:rsid w:val="004A3051"/>
    <w:rsid w:val="004A76E8"/>
    <w:rsid w:val="004B1D37"/>
    <w:rsid w:val="004B30C4"/>
    <w:rsid w:val="004B4FAB"/>
    <w:rsid w:val="004B5584"/>
    <w:rsid w:val="004B5956"/>
    <w:rsid w:val="004B7A41"/>
    <w:rsid w:val="004C0F18"/>
    <w:rsid w:val="004C1B95"/>
    <w:rsid w:val="004C304C"/>
    <w:rsid w:val="004C5CF8"/>
    <w:rsid w:val="004C6B2F"/>
    <w:rsid w:val="004D3F95"/>
    <w:rsid w:val="004D5799"/>
    <w:rsid w:val="004E41C3"/>
    <w:rsid w:val="004E610E"/>
    <w:rsid w:val="004F3DDD"/>
    <w:rsid w:val="004F451B"/>
    <w:rsid w:val="004F478D"/>
    <w:rsid w:val="004F4CC7"/>
    <w:rsid w:val="004F580E"/>
    <w:rsid w:val="004F5E7A"/>
    <w:rsid w:val="0050158A"/>
    <w:rsid w:val="00501BA6"/>
    <w:rsid w:val="00503B04"/>
    <w:rsid w:val="00510360"/>
    <w:rsid w:val="00510784"/>
    <w:rsid w:val="00515280"/>
    <w:rsid w:val="00515460"/>
    <w:rsid w:val="005206E2"/>
    <w:rsid w:val="00522B58"/>
    <w:rsid w:val="0052714D"/>
    <w:rsid w:val="005304B5"/>
    <w:rsid w:val="0053153D"/>
    <w:rsid w:val="0053182B"/>
    <w:rsid w:val="0053199C"/>
    <w:rsid w:val="005336DA"/>
    <w:rsid w:val="00534962"/>
    <w:rsid w:val="00541951"/>
    <w:rsid w:val="00544B5B"/>
    <w:rsid w:val="00551872"/>
    <w:rsid w:val="0055377B"/>
    <w:rsid w:val="00553B4A"/>
    <w:rsid w:val="00553F17"/>
    <w:rsid w:val="00554D1D"/>
    <w:rsid w:val="005578BC"/>
    <w:rsid w:val="00560C25"/>
    <w:rsid w:val="00561563"/>
    <w:rsid w:val="00567E8B"/>
    <w:rsid w:val="005727D6"/>
    <w:rsid w:val="00572ABE"/>
    <w:rsid w:val="00575CCE"/>
    <w:rsid w:val="0057670F"/>
    <w:rsid w:val="00576BC5"/>
    <w:rsid w:val="00580BCC"/>
    <w:rsid w:val="005845F6"/>
    <w:rsid w:val="005A0ACF"/>
    <w:rsid w:val="005A0FE4"/>
    <w:rsid w:val="005A4AC9"/>
    <w:rsid w:val="005B1815"/>
    <w:rsid w:val="005B1B4F"/>
    <w:rsid w:val="005B6F90"/>
    <w:rsid w:val="005C1149"/>
    <w:rsid w:val="005D0402"/>
    <w:rsid w:val="005D310B"/>
    <w:rsid w:val="005D4D09"/>
    <w:rsid w:val="005D52C8"/>
    <w:rsid w:val="005D5F22"/>
    <w:rsid w:val="005E097E"/>
    <w:rsid w:val="005E7AC6"/>
    <w:rsid w:val="005F0A6F"/>
    <w:rsid w:val="005F524E"/>
    <w:rsid w:val="00604939"/>
    <w:rsid w:val="0061228A"/>
    <w:rsid w:val="00612789"/>
    <w:rsid w:val="00612CE0"/>
    <w:rsid w:val="0061664A"/>
    <w:rsid w:val="0062396E"/>
    <w:rsid w:val="00630A30"/>
    <w:rsid w:val="00632D50"/>
    <w:rsid w:val="00632F71"/>
    <w:rsid w:val="00637027"/>
    <w:rsid w:val="006371DD"/>
    <w:rsid w:val="0064309E"/>
    <w:rsid w:val="00643DA3"/>
    <w:rsid w:val="006450C5"/>
    <w:rsid w:val="00647669"/>
    <w:rsid w:val="0066148C"/>
    <w:rsid w:val="006634EC"/>
    <w:rsid w:val="006701EF"/>
    <w:rsid w:val="00675E5C"/>
    <w:rsid w:val="00675FDB"/>
    <w:rsid w:val="00676AD2"/>
    <w:rsid w:val="00684B2D"/>
    <w:rsid w:val="0068630B"/>
    <w:rsid w:val="00686F4A"/>
    <w:rsid w:val="00692DAE"/>
    <w:rsid w:val="00693D70"/>
    <w:rsid w:val="00695939"/>
    <w:rsid w:val="00697E5C"/>
    <w:rsid w:val="006A00AE"/>
    <w:rsid w:val="006A59CE"/>
    <w:rsid w:val="006A6BE8"/>
    <w:rsid w:val="006B29FF"/>
    <w:rsid w:val="006B6DFD"/>
    <w:rsid w:val="006C108C"/>
    <w:rsid w:val="006C37F5"/>
    <w:rsid w:val="006C4752"/>
    <w:rsid w:val="006C4DD3"/>
    <w:rsid w:val="006C4EC4"/>
    <w:rsid w:val="006C59DF"/>
    <w:rsid w:val="006C6CB4"/>
    <w:rsid w:val="006D0031"/>
    <w:rsid w:val="006D0C9E"/>
    <w:rsid w:val="006D387F"/>
    <w:rsid w:val="006D60D4"/>
    <w:rsid w:val="006E2ABB"/>
    <w:rsid w:val="006E49A5"/>
    <w:rsid w:val="006F7175"/>
    <w:rsid w:val="006F74E9"/>
    <w:rsid w:val="00701F99"/>
    <w:rsid w:val="0070603A"/>
    <w:rsid w:val="00706192"/>
    <w:rsid w:val="007114AD"/>
    <w:rsid w:val="00711933"/>
    <w:rsid w:val="007233EB"/>
    <w:rsid w:val="007322FB"/>
    <w:rsid w:val="007364BB"/>
    <w:rsid w:val="0074109F"/>
    <w:rsid w:val="0075126B"/>
    <w:rsid w:val="0075153E"/>
    <w:rsid w:val="00753039"/>
    <w:rsid w:val="0075304B"/>
    <w:rsid w:val="0075341B"/>
    <w:rsid w:val="00756078"/>
    <w:rsid w:val="007570C9"/>
    <w:rsid w:val="00761793"/>
    <w:rsid w:val="007617AF"/>
    <w:rsid w:val="0076458B"/>
    <w:rsid w:val="00764FD5"/>
    <w:rsid w:val="00767B9B"/>
    <w:rsid w:val="00784F03"/>
    <w:rsid w:val="007852BB"/>
    <w:rsid w:val="00787A99"/>
    <w:rsid w:val="00791B52"/>
    <w:rsid w:val="00791DBF"/>
    <w:rsid w:val="00793F9A"/>
    <w:rsid w:val="007958DB"/>
    <w:rsid w:val="007A019A"/>
    <w:rsid w:val="007A7270"/>
    <w:rsid w:val="007B1055"/>
    <w:rsid w:val="007B1483"/>
    <w:rsid w:val="007B1FD8"/>
    <w:rsid w:val="007B5915"/>
    <w:rsid w:val="007B6FE7"/>
    <w:rsid w:val="007B7701"/>
    <w:rsid w:val="007C794F"/>
    <w:rsid w:val="007D0147"/>
    <w:rsid w:val="007D31CF"/>
    <w:rsid w:val="007D3EDE"/>
    <w:rsid w:val="007D4CDE"/>
    <w:rsid w:val="007D70CA"/>
    <w:rsid w:val="007E1DB7"/>
    <w:rsid w:val="007E2FB7"/>
    <w:rsid w:val="007E423A"/>
    <w:rsid w:val="007E73B6"/>
    <w:rsid w:val="007F7120"/>
    <w:rsid w:val="00800CA3"/>
    <w:rsid w:val="00804268"/>
    <w:rsid w:val="00806C61"/>
    <w:rsid w:val="00810ECD"/>
    <w:rsid w:val="0081131B"/>
    <w:rsid w:val="00811E08"/>
    <w:rsid w:val="00813D6F"/>
    <w:rsid w:val="00814643"/>
    <w:rsid w:val="00816648"/>
    <w:rsid w:val="00816EA9"/>
    <w:rsid w:val="0082691B"/>
    <w:rsid w:val="008270E0"/>
    <w:rsid w:val="0083487B"/>
    <w:rsid w:val="0084463C"/>
    <w:rsid w:val="00844C6C"/>
    <w:rsid w:val="008518C0"/>
    <w:rsid w:val="00852174"/>
    <w:rsid w:val="0085295B"/>
    <w:rsid w:val="00855362"/>
    <w:rsid w:val="008558AA"/>
    <w:rsid w:val="0085670A"/>
    <w:rsid w:val="00860238"/>
    <w:rsid w:val="0086108F"/>
    <w:rsid w:val="008634B0"/>
    <w:rsid w:val="008634E6"/>
    <w:rsid w:val="0086492E"/>
    <w:rsid w:val="008678AB"/>
    <w:rsid w:val="00881CC0"/>
    <w:rsid w:val="00882C60"/>
    <w:rsid w:val="0088301D"/>
    <w:rsid w:val="0088442D"/>
    <w:rsid w:val="008859F2"/>
    <w:rsid w:val="008954DB"/>
    <w:rsid w:val="00895B11"/>
    <w:rsid w:val="00896660"/>
    <w:rsid w:val="008A1243"/>
    <w:rsid w:val="008A5FDA"/>
    <w:rsid w:val="008A7E29"/>
    <w:rsid w:val="008B0244"/>
    <w:rsid w:val="008B0EAA"/>
    <w:rsid w:val="008B4CEE"/>
    <w:rsid w:val="008B6660"/>
    <w:rsid w:val="008C3BE8"/>
    <w:rsid w:val="008C48F8"/>
    <w:rsid w:val="008C50EA"/>
    <w:rsid w:val="008C6ECB"/>
    <w:rsid w:val="008C74AD"/>
    <w:rsid w:val="008C7BD4"/>
    <w:rsid w:val="008D13DD"/>
    <w:rsid w:val="008D3FEE"/>
    <w:rsid w:val="008D540C"/>
    <w:rsid w:val="008D605B"/>
    <w:rsid w:val="008F0C20"/>
    <w:rsid w:val="008F0D93"/>
    <w:rsid w:val="008F27ED"/>
    <w:rsid w:val="008F3062"/>
    <w:rsid w:val="008F3F59"/>
    <w:rsid w:val="008F490D"/>
    <w:rsid w:val="008F69F5"/>
    <w:rsid w:val="008F71CD"/>
    <w:rsid w:val="009002A3"/>
    <w:rsid w:val="0090149B"/>
    <w:rsid w:val="009017E7"/>
    <w:rsid w:val="00901B1F"/>
    <w:rsid w:val="00905A10"/>
    <w:rsid w:val="00906C2B"/>
    <w:rsid w:val="00910365"/>
    <w:rsid w:val="00924A33"/>
    <w:rsid w:val="00931710"/>
    <w:rsid w:val="009357D2"/>
    <w:rsid w:val="00943B0B"/>
    <w:rsid w:val="00947D5C"/>
    <w:rsid w:val="00953F1A"/>
    <w:rsid w:val="00954254"/>
    <w:rsid w:val="0095561A"/>
    <w:rsid w:val="009576B0"/>
    <w:rsid w:val="00962CCE"/>
    <w:rsid w:val="00963EBC"/>
    <w:rsid w:val="0096710D"/>
    <w:rsid w:val="0096738B"/>
    <w:rsid w:val="0096797F"/>
    <w:rsid w:val="00973276"/>
    <w:rsid w:val="009779D9"/>
    <w:rsid w:val="00984BFA"/>
    <w:rsid w:val="009879A6"/>
    <w:rsid w:val="0099201A"/>
    <w:rsid w:val="009920CE"/>
    <w:rsid w:val="009950CE"/>
    <w:rsid w:val="00996077"/>
    <w:rsid w:val="00997332"/>
    <w:rsid w:val="009A071C"/>
    <w:rsid w:val="009A0C1B"/>
    <w:rsid w:val="009A36DD"/>
    <w:rsid w:val="009A4587"/>
    <w:rsid w:val="009A5A89"/>
    <w:rsid w:val="009B2B63"/>
    <w:rsid w:val="009B7304"/>
    <w:rsid w:val="009D008F"/>
    <w:rsid w:val="009D2A1D"/>
    <w:rsid w:val="009D2FEC"/>
    <w:rsid w:val="009D5CD1"/>
    <w:rsid w:val="009D6605"/>
    <w:rsid w:val="009D7E08"/>
    <w:rsid w:val="009E3B59"/>
    <w:rsid w:val="009E55CB"/>
    <w:rsid w:val="009E7B37"/>
    <w:rsid w:val="009E7D4B"/>
    <w:rsid w:val="009E7D8B"/>
    <w:rsid w:val="009F1E08"/>
    <w:rsid w:val="009F3304"/>
    <w:rsid w:val="009F3E37"/>
    <w:rsid w:val="009F488A"/>
    <w:rsid w:val="009F6E70"/>
    <w:rsid w:val="00A01936"/>
    <w:rsid w:val="00A0391C"/>
    <w:rsid w:val="00A208A3"/>
    <w:rsid w:val="00A2796F"/>
    <w:rsid w:val="00A305F2"/>
    <w:rsid w:val="00A35479"/>
    <w:rsid w:val="00A4107F"/>
    <w:rsid w:val="00A42F0A"/>
    <w:rsid w:val="00A45B27"/>
    <w:rsid w:val="00A51AFD"/>
    <w:rsid w:val="00A51DE5"/>
    <w:rsid w:val="00A52AE8"/>
    <w:rsid w:val="00A62F0E"/>
    <w:rsid w:val="00A6580E"/>
    <w:rsid w:val="00A660D3"/>
    <w:rsid w:val="00A666A3"/>
    <w:rsid w:val="00A67985"/>
    <w:rsid w:val="00A776F0"/>
    <w:rsid w:val="00A81636"/>
    <w:rsid w:val="00A83B4A"/>
    <w:rsid w:val="00A87F0F"/>
    <w:rsid w:val="00A911AB"/>
    <w:rsid w:val="00A92D7D"/>
    <w:rsid w:val="00AA05B8"/>
    <w:rsid w:val="00AA158A"/>
    <w:rsid w:val="00AA6311"/>
    <w:rsid w:val="00AA6890"/>
    <w:rsid w:val="00AB1084"/>
    <w:rsid w:val="00AB532A"/>
    <w:rsid w:val="00AB769F"/>
    <w:rsid w:val="00AC2975"/>
    <w:rsid w:val="00AD186F"/>
    <w:rsid w:val="00AD31D9"/>
    <w:rsid w:val="00AD3727"/>
    <w:rsid w:val="00AD58A2"/>
    <w:rsid w:val="00AE1003"/>
    <w:rsid w:val="00AE37F6"/>
    <w:rsid w:val="00AE44C5"/>
    <w:rsid w:val="00AE554A"/>
    <w:rsid w:val="00AE5BB1"/>
    <w:rsid w:val="00B05FFC"/>
    <w:rsid w:val="00B077CF"/>
    <w:rsid w:val="00B07D71"/>
    <w:rsid w:val="00B13BA3"/>
    <w:rsid w:val="00B17225"/>
    <w:rsid w:val="00B1781D"/>
    <w:rsid w:val="00B236D5"/>
    <w:rsid w:val="00B244CA"/>
    <w:rsid w:val="00B30415"/>
    <w:rsid w:val="00B31D16"/>
    <w:rsid w:val="00B31EFE"/>
    <w:rsid w:val="00B3304A"/>
    <w:rsid w:val="00B34473"/>
    <w:rsid w:val="00B42337"/>
    <w:rsid w:val="00B42406"/>
    <w:rsid w:val="00B44914"/>
    <w:rsid w:val="00B549EC"/>
    <w:rsid w:val="00B56F61"/>
    <w:rsid w:val="00B57CB8"/>
    <w:rsid w:val="00B617BC"/>
    <w:rsid w:val="00B62EC8"/>
    <w:rsid w:val="00B63027"/>
    <w:rsid w:val="00B6307E"/>
    <w:rsid w:val="00B641EA"/>
    <w:rsid w:val="00B64588"/>
    <w:rsid w:val="00B66029"/>
    <w:rsid w:val="00B746A8"/>
    <w:rsid w:val="00B755D4"/>
    <w:rsid w:val="00B77D37"/>
    <w:rsid w:val="00B80A38"/>
    <w:rsid w:val="00B826AD"/>
    <w:rsid w:val="00B87484"/>
    <w:rsid w:val="00B91B7B"/>
    <w:rsid w:val="00B9378A"/>
    <w:rsid w:val="00B9570E"/>
    <w:rsid w:val="00B9581C"/>
    <w:rsid w:val="00BA0FB9"/>
    <w:rsid w:val="00BA13E4"/>
    <w:rsid w:val="00BB1ECD"/>
    <w:rsid w:val="00BB38AA"/>
    <w:rsid w:val="00BB3C24"/>
    <w:rsid w:val="00BB4FAA"/>
    <w:rsid w:val="00BB566A"/>
    <w:rsid w:val="00BB61B3"/>
    <w:rsid w:val="00BC2239"/>
    <w:rsid w:val="00BC5444"/>
    <w:rsid w:val="00BD635F"/>
    <w:rsid w:val="00BD637B"/>
    <w:rsid w:val="00BE3E95"/>
    <w:rsid w:val="00BE5084"/>
    <w:rsid w:val="00BE5331"/>
    <w:rsid w:val="00BE7F6F"/>
    <w:rsid w:val="00BF1058"/>
    <w:rsid w:val="00BF1104"/>
    <w:rsid w:val="00BF7E89"/>
    <w:rsid w:val="00C00F81"/>
    <w:rsid w:val="00C01442"/>
    <w:rsid w:val="00C01B60"/>
    <w:rsid w:val="00C03F32"/>
    <w:rsid w:val="00C06FFA"/>
    <w:rsid w:val="00C07B52"/>
    <w:rsid w:val="00C12B3B"/>
    <w:rsid w:val="00C139F6"/>
    <w:rsid w:val="00C1506E"/>
    <w:rsid w:val="00C151B9"/>
    <w:rsid w:val="00C17723"/>
    <w:rsid w:val="00C24537"/>
    <w:rsid w:val="00C27FEE"/>
    <w:rsid w:val="00C32418"/>
    <w:rsid w:val="00C338E8"/>
    <w:rsid w:val="00C35D00"/>
    <w:rsid w:val="00C368FD"/>
    <w:rsid w:val="00C37EB6"/>
    <w:rsid w:val="00C40F3C"/>
    <w:rsid w:val="00C41536"/>
    <w:rsid w:val="00C4229E"/>
    <w:rsid w:val="00C42543"/>
    <w:rsid w:val="00C446F7"/>
    <w:rsid w:val="00C45186"/>
    <w:rsid w:val="00C45FF7"/>
    <w:rsid w:val="00C51D24"/>
    <w:rsid w:val="00C554E9"/>
    <w:rsid w:val="00C61099"/>
    <w:rsid w:val="00C66198"/>
    <w:rsid w:val="00C71DBB"/>
    <w:rsid w:val="00C75B32"/>
    <w:rsid w:val="00C75D9B"/>
    <w:rsid w:val="00C81704"/>
    <w:rsid w:val="00C85570"/>
    <w:rsid w:val="00C87375"/>
    <w:rsid w:val="00C972CA"/>
    <w:rsid w:val="00CA2DE5"/>
    <w:rsid w:val="00CA73DF"/>
    <w:rsid w:val="00CB03B6"/>
    <w:rsid w:val="00CB3978"/>
    <w:rsid w:val="00CC40DE"/>
    <w:rsid w:val="00CC5367"/>
    <w:rsid w:val="00CC7A5B"/>
    <w:rsid w:val="00CC7DFC"/>
    <w:rsid w:val="00CD64DD"/>
    <w:rsid w:val="00CD6ABA"/>
    <w:rsid w:val="00CE1DD5"/>
    <w:rsid w:val="00CE1F01"/>
    <w:rsid w:val="00CE4DC1"/>
    <w:rsid w:val="00CE6C0C"/>
    <w:rsid w:val="00CE780B"/>
    <w:rsid w:val="00CF159E"/>
    <w:rsid w:val="00CF21C1"/>
    <w:rsid w:val="00CF4378"/>
    <w:rsid w:val="00CF44E2"/>
    <w:rsid w:val="00D02EBB"/>
    <w:rsid w:val="00D04381"/>
    <w:rsid w:val="00D10A88"/>
    <w:rsid w:val="00D11825"/>
    <w:rsid w:val="00D21C4D"/>
    <w:rsid w:val="00D268F7"/>
    <w:rsid w:val="00D31C29"/>
    <w:rsid w:val="00D325CA"/>
    <w:rsid w:val="00D331B6"/>
    <w:rsid w:val="00D34856"/>
    <w:rsid w:val="00D40FD3"/>
    <w:rsid w:val="00D4276F"/>
    <w:rsid w:val="00D42E41"/>
    <w:rsid w:val="00D42F42"/>
    <w:rsid w:val="00D51D75"/>
    <w:rsid w:val="00D53E7A"/>
    <w:rsid w:val="00D566B1"/>
    <w:rsid w:val="00D62112"/>
    <w:rsid w:val="00D63965"/>
    <w:rsid w:val="00D64A6E"/>
    <w:rsid w:val="00D6594C"/>
    <w:rsid w:val="00D669B3"/>
    <w:rsid w:val="00D8539C"/>
    <w:rsid w:val="00D86677"/>
    <w:rsid w:val="00D93293"/>
    <w:rsid w:val="00D976DB"/>
    <w:rsid w:val="00DA1D61"/>
    <w:rsid w:val="00DA2785"/>
    <w:rsid w:val="00DA4731"/>
    <w:rsid w:val="00DA51FA"/>
    <w:rsid w:val="00DA7A62"/>
    <w:rsid w:val="00DB1D87"/>
    <w:rsid w:val="00DB72F4"/>
    <w:rsid w:val="00DC0019"/>
    <w:rsid w:val="00DC04C4"/>
    <w:rsid w:val="00DC401C"/>
    <w:rsid w:val="00DD4050"/>
    <w:rsid w:val="00DD56BA"/>
    <w:rsid w:val="00DD69F1"/>
    <w:rsid w:val="00DE11E8"/>
    <w:rsid w:val="00DE18DD"/>
    <w:rsid w:val="00DE79E6"/>
    <w:rsid w:val="00DE7A45"/>
    <w:rsid w:val="00DF006A"/>
    <w:rsid w:val="00DF2046"/>
    <w:rsid w:val="00DF2F1D"/>
    <w:rsid w:val="00E00D3C"/>
    <w:rsid w:val="00E027CD"/>
    <w:rsid w:val="00E0669B"/>
    <w:rsid w:val="00E12155"/>
    <w:rsid w:val="00E21D20"/>
    <w:rsid w:val="00E2213D"/>
    <w:rsid w:val="00E22D4F"/>
    <w:rsid w:val="00E30528"/>
    <w:rsid w:val="00E3280C"/>
    <w:rsid w:val="00E34B21"/>
    <w:rsid w:val="00E414C2"/>
    <w:rsid w:val="00E467EE"/>
    <w:rsid w:val="00E5119A"/>
    <w:rsid w:val="00E55AB1"/>
    <w:rsid w:val="00E570CB"/>
    <w:rsid w:val="00E62220"/>
    <w:rsid w:val="00E6397F"/>
    <w:rsid w:val="00E66DC9"/>
    <w:rsid w:val="00E71BA4"/>
    <w:rsid w:val="00E7317A"/>
    <w:rsid w:val="00E73B97"/>
    <w:rsid w:val="00E75556"/>
    <w:rsid w:val="00E8156E"/>
    <w:rsid w:val="00E81806"/>
    <w:rsid w:val="00E85307"/>
    <w:rsid w:val="00E86C8A"/>
    <w:rsid w:val="00E9202B"/>
    <w:rsid w:val="00E9736D"/>
    <w:rsid w:val="00EA2FB8"/>
    <w:rsid w:val="00EB2D86"/>
    <w:rsid w:val="00EB3FFE"/>
    <w:rsid w:val="00EB60E4"/>
    <w:rsid w:val="00EC013B"/>
    <w:rsid w:val="00EC372A"/>
    <w:rsid w:val="00ED3FBB"/>
    <w:rsid w:val="00ED41E3"/>
    <w:rsid w:val="00EE42F0"/>
    <w:rsid w:val="00EE6ABE"/>
    <w:rsid w:val="00EE723C"/>
    <w:rsid w:val="00EF1AB7"/>
    <w:rsid w:val="00EF1FC3"/>
    <w:rsid w:val="00EF4C0D"/>
    <w:rsid w:val="00EF6746"/>
    <w:rsid w:val="00EF79DF"/>
    <w:rsid w:val="00F03864"/>
    <w:rsid w:val="00F047E6"/>
    <w:rsid w:val="00F055BF"/>
    <w:rsid w:val="00F06DC9"/>
    <w:rsid w:val="00F078F8"/>
    <w:rsid w:val="00F1447D"/>
    <w:rsid w:val="00F14791"/>
    <w:rsid w:val="00F14866"/>
    <w:rsid w:val="00F32559"/>
    <w:rsid w:val="00F35C08"/>
    <w:rsid w:val="00F35FDF"/>
    <w:rsid w:val="00F37182"/>
    <w:rsid w:val="00F3774C"/>
    <w:rsid w:val="00F37B50"/>
    <w:rsid w:val="00F42319"/>
    <w:rsid w:val="00F46D83"/>
    <w:rsid w:val="00F517ED"/>
    <w:rsid w:val="00F5279B"/>
    <w:rsid w:val="00F53041"/>
    <w:rsid w:val="00F53430"/>
    <w:rsid w:val="00F540FA"/>
    <w:rsid w:val="00F54372"/>
    <w:rsid w:val="00F56965"/>
    <w:rsid w:val="00F57ADF"/>
    <w:rsid w:val="00F614CE"/>
    <w:rsid w:val="00F63283"/>
    <w:rsid w:val="00F71344"/>
    <w:rsid w:val="00F72C3A"/>
    <w:rsid w:val="00F764B0"/>
    <w:rsid w:val="00F7702F"/>
    <w:rsid w:val="00F8283A"/>
    <w:rsid w:val="00F853C0"/>
    <w:rsid w:val="00F85668"/>
    <w:rsid w:val="00F86E8B"/>
    <w:rsid w:val="00F902D2"/>
    <w:rsid w:val="00F918A1"/>
    <w:rsid w:val="00F97160"/>
    <w:rsid w:val="00F97304"/>
    <w:rsid w:val="00FA28FB"/>
    <w:rsid w:val="00FA2BC9"/>
    <w:rsid w:val="00FA4712"/>
    <w:rsid w:val="00FA5905"/>
    <w:rsid w:val="00FB05A7"/>
    <w:rsid w:val="00FB06D3"/>
    <w:rsid w:val="00FB0E40"/>
    <w:rsid w:val="00FB0F4E"/>
    <w:rsid w:val="00FB1A04"/>
    <w:rsid w:val="00FB35A3"/>
    <w:rsid w:val="00FB6642"/>
    <w:rsid w:val="00FC040E"/>
    <w:rsid w:val="00FC0D03"/>
    <w:rsid w:val="00FC426B"/>
    <w:rsid w:val="00FC43D2"/>
    <w:rsid w:val="00FC6031"/>
    <w:rsid w:val="00FC6E84"/>
    <w:rsid w:val="00FC7EC9"/>
    <w:rsid w:val="00FD1A66"/>
    <w:rsid w:val="00FD5E64"/>
    <w:rsid w:val="00FD68DA"/>
    <w:rsid w:val="00FD7C77"/>
    <w:rsid w:val="00FE1A64"/>
    <w:rsid w:val="00FE2F43"/>
    <w:rsid w:val="00FE6127"/>
    <w:rsid w:val="00FE6694"/>
    <w:rsid w:val="00FE7678"/>
    <w:rsid w:val="00FF40B4"/>
    <w:rsid w:val="00FF55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6E8"/>
  </w:style>
  <w:style w:type="paragraph" w:styleId="Heading1">
    <w:name w:val="heading 1"/>
    <w:basedOn w:val="Normal"/>
    <w:next w:val="Normal"/>
    <w:link w:val="Heading1Char"/>
    <w:uiPriority w:val="9"/>
    <w:qFormat/>
    <w:rsid w:val="00B80A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27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80A3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5425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A76E8"/>
    <w:pPr>
      <w:ind w:left="720"/>
      <w:contextualSpacing/>
    </w:pPr>
  </w:style>
  <w:style w:type="table" w:styleId="TableGrid">
    <w:name w:val="Table Grid"/>
    <w:basedOn w:val="TableNormal"/>
    <w:uiPriority w:val="59"/>
    <w:rsid w:val="00FA2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37182"/>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A0A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0ACF"/>
  </w:style>
  <w:style w:type="paragraph" w:styleId="Footer">
    <w:name w:val="footer"/>
    <w:basedOn w:val="Normal"/>
    <w:link w:val="FooterChar"/>
    <w:uiPriority w:val="99"/>
    <w:unhideWhenUsed/>
    <w:rsid w:val="005A0A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0ACF"/>
  </w:style>
  <w:style w:type="character" w:styleId="CommentReference">
    <w:name w:val="annotation reference"/>
    <w:basedOn w:val="DefaultParagraphFont"/>
    <w:uiPriority w:val="99"/>
    <w:semiHidden/>
    <w:unhideWhenUsed/>
    <w:rsid w:val="00FE2F43"/>
    <w:rPr>
      <w:sz w:val="16"/>
      <w:szCs w:val="16"/>
    </w:rPr>
  </w:style>
  <w:style w:type="paragraph" w:styleId="CommentText">
    <w:name w:val="annotation text"/>
    <w:basedOn w:val="Normal"/>
    <w:link w:val="CommentTextChar"/>
    <w:uiPriority w:val="99"/>
    <w:unhideWhenUsed/>
    <w:rsid w:val="00FE2F43"/>
    <w:pPr>
      <w:spacing w:line="240" w:lineRule="auto"/>
    </w:pPr>
    <w:rPr>
      <w:sz w:val="20"/>
      <w:szCs w:val="20"/>
    </w:rPr>
  </w:style>
  <w:style w:type="character" w:customStyle="1" w:styleId="CommentTextChar">
    <w:name w:val="Comment Text Char"/>
    <w:basedOn w:val="DefaultParagraphFont"/>
    <w:link w:val="CommentText"/>
    <w:uiPriority w:val="99"/>
    <w:rsid w:val="00FE2F43"/>
    <w:rPr>
      <w:sz w:val="20"/>
      <w:szCs w:val="20"/>
    </w:rPr>
  </w:style>
  <w:style w:type="paragraph" w:styleId="CommentSubject">
    <w:name w:val="annotation subject"/>
    <w:basedOn w:val="CommentText"/>
    <w:next w:val="CommentText"/>
    <w:link w:val="CommentSubjectChar"/>
    <w:uiPriority w:val="99"/>
    <w:semiHidden/>
    <w:unhideWhenUsed/>
    <w:rsid w:val="00FE2F43"/>
    <w:rPr>
      <w:b/>
      <w:bCs/>
    </w:rPr>
  </w:style>
  <w:style w:type="character" w:customStyle="1" w:styleId="CommentSubjectChar">
    <w:name w:val="Comment Subject Char"/>
    <w:basedOn w:val="CommentTextChar"/>
    <w:link w:val="CommentSubject"/>
    <w:uiPriority w:val="99"/>
    <w:semiHidden/>
    <w:rsid w:val="00FE2F43"/>
    <w:rPr>
      <w:b/>
      <w:bCs/>
      <w:sz w:val="20"/>
      <w:szCs w:val="20"/>
    </w:rPr>
  </w:style>
  <w:style w:type="paragraph" w:styleId="BalloonText">
    <w:name w:val="Balloon Text"/>
    <w:basedOn w:val="Normal"/>
    <w:link w:val="BalloonTextChar"/>
    <w:uiPriority w:val="99"/>
    <w:semiHidden/>
    <w:unhideWhenUsed/>
    <w:rsid w:val="00FE2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F43"/>
    <w:rPr>
      <w:rFonts w:ascii="Tahoma" w:hAnsi="Tahoma" w:cs="Tahoma"/>
      <w:sz w:val="16"/>
      <w:szCs w:val="16"/>
    </w:rPr>
  </w:style>
  <w:style w:type="paragraph" w:styleId="Revision">
    <w:name w:val="Revision"/>
    <w:hidden/>
    <w:uiPriority w:val="99"/>
    <w:semiHidden/>
    <w:rsid w:val="0018038A"/>
    <w:pPr>
      <w:spacing w:after="0" w:line="240" w:lineRule="auto"/>
    </w:pPr>
  </w:style>
  <w:style w:type="paragraph" w:styleId="FootnoteText">
    <w:name w:val="footnote text"/>
    <w:aliases w:val="-E Fußnotentext,footnote text,Fußnotentext Ursprung"/>
    <w:basedOn w:val="Normal"/>
    <w:link w:val="FootnoteTextChar"/>
    <w:rsid w:val="007A019A"/>
    <w:pPr>
      <w:suppressAutoHyphens/>
      <w:spacing w:after="0" w:line="240" w:lineRule="auto"/>
      <w:jc w:val="both"/>
    </w:pPr>
    <w:rPr>
      <w:rFonts w:ascii="Arial" w:eastAsia="Times New Roman" w:hAnsi="Arial" w:cs="Times New Roman"/>
      <w:sz w:val="20"/>
      <w:szCs w:val="20"/>
      <w:lang w:val="en-US"/>
    </w:rPr>
  </w:style>
  <w:style w:type="character" w:customStyle="1" w:styleId="FootnoteTextChar">
    <w:name w:val="Footnote Text Char"/>
    <w:aliases w:val="-E Fußnotentext Char,footnote text Char,Fußnotentext Ursprung Char"/>
    <w:basedOn w:val="DefaultParagraphFont"/>
    <w:link w:val="FootnoteText"/>
    <w:rsid w:val="007A019A"/>
    <w:rPr>
      <w:rFonts w:ascii="Arial" w:eastAsia="Times New Roman" w:hAnsi="Arial" w:cs="Times New Roman"/>
      <w:sz w:val="20"/>
      <w:szCs w:val="20"/>
      <w:lang w:val="en-US"/>
    </w:rPr>
  </w:style>
  <w:style w:type="character" w:styleId="FootnoteReference">
    <w:name w:val="footnote reference"/>
    <w:aliases w:val="-E Fußnotenzeichen"/>
    <w:basedOn w:val="DefaultParagraphFont"/>
    <w:rsid w:val="007A019A"/>
    <w:rPr>
      <w:vertAlign w:val="superscript"/>
    </w:rPr>
  </w:style>
  <w:style w:type="table" w:styleId="LightList-Accent1">
    <w:name w:val="Light List Accent 1"/>
    <w:basedOn w:val="TableNormal"/>
    <w:uiPriority w:val="61"/>
    <w:rsid w:val="007A019A"/>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ListParagraphChar">
    <w:name w:val="List Paragraph Char"/>
    <w:basedOn w:val="DefaultParagraphFont"/>
    <w:link w:val="ListParagraph"/>
    <w:uiPriority w:val="34"/>
    <w:locked/>
    <w:rsid w:val="007A019A"/>
  </w:style>
  <w:style w:type="paragraph" w:styleId="Caption">
    <w:name w:val="caption"/>
    <w:basedOn w:val="Normal"/>
    <w:next w:val="Normal"/>
    <w:uiPriority w:val="35"/>
    <w:unhideWhenUsed/>
    <w:qFormat/>
    <w:rsid w:val="0008468F"/>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B80A3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B80A3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54254"/>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240731"/>
    <w:rPr>
      <w:color w:val="0000FF"/>
      <w:u w:val="single"/>
    </w:rPr>
  </w:style>
  <w:style w:type="character" w:customStyle="1" w:styleId="Heading2Char">
    <w:name w:val="Heading 2 Char"/>
    <w:basedOn w:val="DefaultParagraphFont"/>
    <w:link w:val="Heading2"/>
    <w:uiPriority w:val="9"/>
    <w:rsid w:val="005727D6"/>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4B7A41"/>
    <w:pPr>
      <w:spacing w:before="100" w:beforeAutospacing="1" w:after="100" w:afterAutospacing="1" w:line="240" w:lineRule="auto"/>
    </w:pPr>
    <w:rPr>
      <w:rFonts w:ascii="Times New Roman" w:eastAsiaTheme="minorEastAsia"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6E8"/>
  </w:style>
  <w:style w:type="paragraph" w:styleId="Heading1">
    <w:name w:val="heading 1"/>
    <w:basedOn w:val="Normal"/>
    <w:next w:val="Normal"/>
    <w:link w:val="Heading1Char"/>
    <w:uiPriority w:val="9"/>
    <w:qFormat/>
    <w:rsid w:val="00B80A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27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80A3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5425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A76E8"/>
    <w:pPr>
      <w:ind w:left="720"/>
      <w:contextualSpacing/>
    </w:pPr>
  </w:style>
  <w:style w:type="table" w:styleId="TableGrid">
    <w:name w:val="Table Grid"/>
    <w:basedOn w:val="TableNormal"/>
    <w:uiPriority w:val="59"/>
    <w:rsid w:val="00FA2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37182"/>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A0A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0ACF"/>
  </w:style>
  <w:style w:type="paragraph" w:styleId="Footer">
    <w:name w:val="footer"/>
    <w:basedOn w:val="Normal"/>
    <w:link w:val="FooterChar"/>
    <w:uiPriority w:val="99"/>
    <w:unhideWhenUsed/>
    <w:rsid w:val="005A0A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0ACF"/>
  </w:style>
  <w:style w:type="character" w:styleId="CommentReference">
    <w:name w:val="annotation reference"/>
    <w:basedOn w:val="DefaultParagraphFont"/>
    <w:uiPriority w:val="99"/>
    <w:semiHidden/>
    <w:unhideWhenUsed/>
    <w:rsid w:val="00FE2F43"/>
    <w:rPr>
      <w:sz w:val="16"/>
      <w:szCs w:val="16"/>
    </w:rPr>
  </w:style>
  <w:style w:type="paragraph" w:styleId="CommentText">
    <w:name w:val="annotation text"/>
    <w:basedOn w:val="Normal"/>
    <w:link w:val="CommentTextChar"/>
    <w:uiPriority w:val="99"/>
    <w:unhideWhenUsed/>
    <w:rsid w:val="00FE2F43"/>
    <w:pPr>
      <w:spacing w:line="240" w:lineRule="auto"/>
    </w:pPr>
    <w:rPr>
      <w:sz w:val="20"/>
      <w:szCs w:val="20"/>
    </w:rPr>
  </w:style>
  <w:style w:type="character" w:customStyle="1" w:styleId="CommentTextChar">
    <w:name w:val="Comment Text Char"/>
    <w:basedOn w:val="DefaultParagraphFont"/>
    <w:link w:val="CommentText"/>
    <w:uiPriority w:val="99"/>
    <w:rsid w:val="00FE2F43"/>
    <w:rPr>
      <w:sz w:val="20"/>
      <w:szCs w:val="20"/>
    </w:rPr>
  </w:style>
  <w:style w:type="paragraph" w:styleId="CommentSubject">
    <w:name w:val="annotation subject"/>
    <w:basedOn w:val="CommentText"/>
    <w:next w:val="CommentText"/>
    <w:link w:val="CommentSubjectChar"/>
    <w:uiPriority w:val="99"/>
    <w:semiHidden/>
    <w:unhideWhenUsed/>
    <w:rsid w:val="00FE2F43"/>
    <w:rPr>
      <w:b/>
      <w:bCs/>
    </w:rPr>
  </w:style>
  <w:style w:type="character" w:customStyle="1" w:styleId="CommentSubjectChar">
    <w:name w:val="Comment Subject Char"/>
    <w:basedOn w:val="CommentTextChar"/>
    <w:link w:val="CommentSubject"/>
    <w:uiPriority w:val="99"/>
    <w:semiHidden/>
    <w:rsid w:val="00FE2F43"/>
    <w:rPr>
      <w:b/>
      <w:bCs/>
      <w:sz w:val="20"/>
      <w:szCs w:val="20"/>
    </w:rPr>
  </w:style>
  <w:style w:type="paragraph" w:styleId="BalloonText">
    <w:name w:val="Balloon Text"/>
    <w:basedOn w:val="Normal"/>
    <w:link w:val="BalloonTextChar"/>
    <w:uiPriority w:val="99"/>
    <w:semiHidden/>
    <w:unhideWhenUsed/>
    <w:rsid w:val="00FE2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F43"/>
    <w:rPr>
      <w:rFonts w:ascii="Tahoma" w:hAnsi="Tahoma" w:cs="Tahoma"/>
      <w:sz w:val="16"/>
      <w:szCs w:val="16"/>
    </w:rPr>
  </w:style>
  <w:style w:type="paragraph" w:styleId="Revision">
    <w:name w:val="Revision"/>
    <w:hidden/>
    <w:uiPriority w:val="99"/>
    <w:semiHidden/>
    <w:rsid w:val="0018038A"/>
    <w:pPr>
      <w:spacing w:after="0" w:line="240" w:lineRule="auto"/>
    </w:pPr>
  </w:style>
  <w:style w:type="paragraph" w:styleId="FootnoteText">
    <w:name w:val="footnote text"/>
    <w:aliases w:val="-E Fußnotentext,footnote text,Fußnotentext Ursprung"/>
    <w:basedOn w:val="Normal"/>
    <w:link w:val="FootnoteTextChar"/>
    <w:rsid w:val="007A019A"/>
    <w:pPr>
      <w:suppressAutoHyphens/>
      <w:spacing w:after="0" w:line="240" w:lineRule="auto"/>
      <w:jc w:val="both"/>
    </w:pPr>
    <w:rPr>
      <w:rFonts w:ascii="Arial" w:eastAsia="Times New Roman" w:hAnsi="Arial" w:cs="Times New Roman"/>
      <w:sz w:val="20"/>
      <w:szCs w:val="20"/>
      <w:lang w:val="en-US"/>
    </w:rPr>
  </w:style>
  <w:style w:type="character" w:customStyle="1" w:styleId="FootnoteTextChar">
    <w:name w:val="Footnote Text Char"/>
    <w:aliases w:val="-E Fußnotentext Char,footnote text Char,Fußnotentext Ursprung Char"/>
    <w:basedOn w:val="DefaultParagraphFont"/>
    <w:link w:val="FootnoteText"/>
    <w:rsid w:val="007A019A"/>
    <w:rPr>
      <w:rFonts w:ascii="Arial" w:eastAsia="Times New Roman" w:hAnsi="Arial" w:cs="Times New Roman"/>
      <w:sz w:val="20"/>
      <w:szCs w:val="20"/>
      <w:lang w:val="en-US"/>
    </w:rPr>
  </w:style>
  <w:style w:type="character" w:styleId="FootnoteReference">
    <w:name w:val="footnote reference"/>
    <w:aliases w:val="-E Fußnotenzeichen"/>
    <w:basedOn w:val="DefaultParagraphFont"/>
    <w:rsid w:val="007A019A"/>
    <w:rPr>
      <w:vertAlign w:val="superscript"/>
    </w:rPr>
  </w:style>
  <w:style w:type="table" w:styleId="LightList-Accent1">
    <w:name w:val="Light List Accent 1"/>
    <w:basedOn w:val="TableNormal"/>
    <w:uiPriority w:val="61"/>
    <w:rsid w:val="007A019A"/>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ListParagraphChar">
    <w:name w:val="List Paragraph Char"/>
    <w:basedOn w:val="DefaultParagraphFont"/>
    <w:link w:val="ListParagraph"/>
    <w:uiPriority w:val="34"/>
    <w:locked/>
    <w:rsid w:val="007A019A"/>
  </w:style>
  <w:style w:type="paragraph" w:styleId="Caption">
    <w:name w:val="caption"/>
    <w:basedOn w:val="Normal"/>
    <w:next w:val="Normal"/>
    <w:uiPriority w:val="35"/>
    <w:unhideWhenUsed/>
    <w:qFormat/>
    <w:rsid w:val="0008468F"/>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B80A3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B80A3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54254"/>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240731"/>
    <w:rPr>
      <w:color w:val="0000FF"/>
      <w:u w:val="single"/>
    </w:rPr>
  </w:style>
  <w:style w:type="character" w:customStyle="1" w:styleId="Heading2Char">
    <w:name w:val="Heading 2 Char"/>
    <w:basedOn w:val="DefaultParagraphFont"/>
    <w:link w:val="Heading2"/>
    <w:uiPriority w:val="9"/>
    <w:rsid w:val="005727D6"/>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4B7A41"/>
    <w:pPr>
      <w:spacing w:before="100" w:beforeAutospacing="1" w:after="100" w:afterAutospacing="1" w:line="240" w:lineRule="auto"/>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9735">
      <w:bodyDiv w:val="1"/>
      <w:marLeft w:val="0"/>
      <w:marRight w:val="0"/>
      <w:marTop w:val="0"/>
      <w:marBottom w:val="0"/>
      <w:divBdr>
        <w:top w:val="none" w:sz="0" w:space="0" w:color="auto"/>
        <w:left w:val="none" w:sz="0" w:space="0" w:color="auto"/>
        <w:bottom w:val="none" w:sz="0" w:space="0" w:color="auto"/>
        <w:right w:val="none" w:sz="0" w:space="0" w:color="auto"/>
      </w:divBdr>
    </w:div>
    <w:div w:id="94984466">
      <w:bodyDiv w:val="1"/>
      <w:marLeft w:val="0"/>
      <w:marRight w:val="0"/>
      <w:marTop w:val="0"/>
      <w:marBottom w:val="0"/>
      <w:divBdr>
        <w:top w:val="none" w:sz="0" w:space="0" w:color="auto"/>
        <w:left w:val="none" w:sz="0" w:space="0" w:color="auto"/>
        <w:bottom w:val="none" w:sz="0" w:space="0" w:color="auto"/>
        <w:right w:val="none" w:sz="0" w:space="0" w:color="auto"/>
      </w:divBdr>
    </w:div>
    <w:div w:id="160319845">
      <w:bodyDiv w:val="1"/>
      <w:marLeft w:val="0"/>
      <w:marRight w:val="0"/>
      <w:marTop w:val="0"/>
      <w:marBottom w:val="0"/>
      <w:divBdr>
        <w:top w:val="none" w:sz="0" w:space="0" w:color="auto"/>
        <w:left w:val="none" w:sz="0" w:space="0" w:color="auto"/>
        <w:bottom w:val="none" w:sz="0" w:space="0" w:color="auto"/>
        <w:right w:val="none" w:sz="0" w:space="0" w:color="auto"/>
      </w:divBdr>
    </w:div>
    <w:div w:id="211036415">
      <w:bodyDiv w:val="1"/>
      <w:marLeft w:val="0"/>
      <w:marRight w:val="0"/>
      <w:marTop w:val="0"/>
      <w:marBottom w:val="0"/>
      <w:divBdr>
        <w:top w:val="none" w:sz="0" w:space="0" w:color="auto"/>
        <w:left w:val="none" w:sz="0" w:space="0" w:color="auto"/>
        <w:bottom w:val="none" w:sz="0" w:space="0" w:color="auto"/>
        <w:right w:val="none" w:sz="0" w:space="0" w:color="auto"/>
      </w:divBdr>
    </w:div>
    <w:div w:id="237713694">
      <w:bodyDiv w:val="1"/>
      <w:marLeft w:val="0"/>
      <w:marRight w:val="0"/>
      <w:marTop w:val="0"/>
      <w:marBottom w:val="0"/>
      <w:divBdr>
        <w:top w:val="none" w:sz="0" w:space="0" w:color="auto"/>
        <w:left w:val="none" w:sz="0" w:space="0" w:color="auto"/>
        <w:bottom w:val="none" w:sz="0" w:space="0" w:color="auto"/>
        <w:right w:val="none" w:sz="0" w:space="0" w:color="auto"/>
      </w:divBdr>
    </w:div>
    <w:div w:id="304432085">
      <w:bodyDiv w:val="1"/>
      <w:marLeft w:val="0"/>
      <w:marRight w:val="0"/>
      <w:marTop w:val="0"/>
      <w:marBottom w:val="0"/>
      <w:divBdr>
        <w:top w:val="none" w:sz="0" w:space="0" w:color="auto"/>
        <w:left w:val="none" w:sz="0" w:space="0" w:color="auto"/>
        <w:bottom w:val="none" w:sz="0" w:space="0" w:color="auto"/>
        <w:right w:val="none" w:sz="0" w:space="0" w:color="auto"/>
      </w:divBdr>
    </w:div>
    <w:div w:id="975333033">
      <w:bodyDiv w:val="1"/>
      <w:marLeft w:val="0"/>
      <w:marRight w:val="0"/>
      <w:marTop w:val="0"/>
      <w:marBottom w:val="0"/>
      <w:divBdr>
        <w:top w:val="none" w:sz="0" w:space="0" w:color="auto"/>
        <w:left w:val="none" w:sz="0" w:space="0" w:color="auto"/>
        <w:bottom w:val="none" w:sz="0" w:space="0" w:color="auto"/>
        <w:right w:val="none" w:sz="0" w:space="0" w:color="auto"/>
      </w:divBdr>
    </w:div>
    <w:div w:id="1664352841">
      <w:bodyDiv w:val="1"/>
      <w:marLeft w:val="0"/>
      <w:marRight w:val="0"/>
      <w:marTop w:val="0"/>
      <w:marBottom w:val="0"/>
      <w:divBdr>
        <w:top w:val="none" w:sz="0" w:space="0" w:color="auto"/>
        <w:left w:val="none" w:sz="0" w:space="0" w:color="auto"/>
        <w:bottom w:val="none" w:sz="0" w:space="0" w:color="auto"/>
        <w:right w:val="none" w:sz="0" w:space="0" w:color="auto"/>
      </w:divBdr>
    </w:div>
    <w:div w:id="1726102952">
      <w:bodyDiv w:val="1"/>
      <w:marLeft w:val="0"/>
      <w:marRight w:val="0"/>
      <w:marTop w:val="0"/>
      <w:marBottom w:val="0"/>
      <w:divBdr>
        <w:top w:val="none" w:sz="0" w:space="0" w:color="auto"/>
        <w:left w:val="none" w:sz="0" w:space="0" w:color="auto"/>
        <w:bottom w:val="none" w:sz="0" w:space="0" w:color="auto"/>
        <w:right w:val="none" w:sz="0" w:space="0" w:color="auto"/>
      </w:divBdr>
    </w:div>
    <w:div w:id="1773476722">
      <w:bodyDiv w:val="1"/>
      <w:marLeft w:val="0"/>
      <w:marRight w:val="0"/>
      <w:marTop w:val="0"/>
      <w:marBottom w:val="0"/>
      <w:divBdr>
        <w:top w:val="none" w:sz="0" w:space="0" w:color="auto"/>
        <w:left w:val="none" w:sz="0" w:space="0" w:color="auto"/>
        <w:bottom w:val="none" w:sz="0" w:space="0" w:color="auto"/>
        <w:right w:val="none" w:sz="0" w:space="0" w:color="auto"/>
      </w:divBdr>
    </w:div>
    <w:div w:id="1994795408">
      <w:bodyDiv w:val="1"/>
      <w:marLeft w:val="0"/>
      <w:marRight w:val="0"/>
      <w:marTop w:val="0"/>
      <w:marBottom w:val="0"/>
      <w:divBdr>
        <w:top w:val="none" w:sz="0" w:space="0" w:color="auto"/>
        <w:left w:val="none" w:sz="0" w:space="0" w:color="auto"/>
        <w:bottom w:val="none" w:sz="0" w:space="0" w:color="auto"/>
        <w:right w:val="none" w:sz="0" w:space="0" w:color="auto"/>
      </w:divBdr>
    </w:div>
    <w:div w:id="20277521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diagramLayout" Target="diagrams/layout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F05E6F-F507-4857-B6F0-1ED77ECACAA4}" type="doc">
      <dgm:prSet loTypeId="urn:microsoft.com/office/officeart/2005/8/layout/chevron2" loCatId="process" qsTypeId="urn:microsoft.com/office/officeart/2005/8/quickstyle/simple1" qsCatId="simple" csTypeId="urn:microsoft.com/office/officeart/2005/8/colors/colorful2" csCatId="colorful" phldr="1"/>
      <dgm:spPr/>
      <dgm:t>
        <a:bodyPr/>
        <a:lstStyle/>
        <a:p>
          <a:endParaRPr lang="en-GB"/>
        </a:p>
      </dgm:t>
    </dgm:pt>
    <dgm:pt modelId="{758D9073-8793-4A04-90AE-00DE12B519B9}">
      <dgm:prSet phldrT="[Text]" custT="1"/>
      <dgm:spPr/>
      <dgm:t>
        <a:bodyPr/>
        <a:lstStyle/>
        <a:p>
          <a:r>
            <a:rPr lang="en-GB" sz="1000" b="1"/>
            <a:t>Policy Development</a:t>
          </a:r>
        </a:p>
      </dgm:t>
    </dgm:pt>
    <dgm:pt modelId="{22661808-1689-48C8-B09A-A3BEE1170AE9}" type="parTrans" cxnId="{EC109D2A-66DD-4794-867A-3E4E0708818A}">
      <dgm:prSet/>
      <dgm:spPr/>
      <dgm:t>
        <a:bodyPr/>
        <a:lstStyle/>
        <a:p>
          <a:endParaRPr lang="en-GB"/>
        </a:p>
      </dgm:t>
    </dgm:pt>
    <dgm:pt modelId="{87C1FC81-A641-4985-AF11-758945A0DF78}" type="sibTrans" cxnId="{EC109D2A-66DD-4794-867A-3E4E0708818A}">
      <dgm:prSet/>
      <dgm:spPr/>
      <dgm:t>
        <a:bodyPr/>
        <a:lstStyle/>
        <a:p>
          <a:endParaRPr lang="en-GB"/>
        </a:p>
      </dgm:t>
    </dgm:pt>
    <dgm:pt modelId="{32FEA0BE-7554-44E0-AC22-0C0BBF635515}">
      <dgm:prSet phldrT="[Text]" custT="1"/>
      <dgm:spPr/>
      <dgm:t>
        <a:bodyPr/>
        <a:lstStyle/>
        <a:p>
          <a:r>
            <a:rPr lang="en-GB" sz="1200"/>
            <a:t>Policy design progressed with the Advisory Group</a:t>
          </a:r>
        </a:p>
      </dgm:t>
    </dgm:pt>
    <dgm:pt modelId="{2FA0BC25-B93E-4494-832E-931AB03E6E31}" type="parTrans" cxnId="{BEC81781-E319-42E6-8C1F-99C40BD25AD6}">
      <dgm:prSet/>
      <dgm:spPr/>
      <dgm:t>
        <a:bodyPr/>
        <a:lstStyle/>
        <a:p>
          <a:endParaRPr lang="en-GB"/>
        </a:p>
      </dgm:t>
    </dgm:pt>
    <dgm:pt modelId="{2FEEE0BF-DCE8-40B0-A9E8-7D76678AF633}" type="sibTrans" cxnId="{BEC81781-E319-42E6-8C1F-99C40BD25AD6}">
      <dgm:prSet/>
      <dgm:spPr/>
      <dgm:t>
        <a:bodyPr/>
        <a:lstStyle/>
        <a:p>
          <a:endParaRPr lang="en-GB"/>
        </a:p>
      </dgm:t>
    </dgm:pt>
    <dgm:pt modelId="{DC536151-A773-40D6-8A9B-F957D0AC5A38}">
      <dgm:prSet phldrT="[Text]" custT="1"/>
      <dgm:spPr/>
      <dgm:t>
        <a:bodyPr/>
        <a:lstStyle/>
        <a:p>
          <a:r>
            <a:rPr lang="en-GB" sz="1200"/>
            <a:t>Proposed holistic design presented at stakeholder workshop</a:t>
          </a:r>
        </a:p>
      </dgm:t>
    </dgm:pt>
    <dgm:pt modelId="{D8F1689E-8DBB-4BE9-93A7-D0FDC1CE3B4C}" type="parTrans" cxnId="{A5AF6AE8-1BC8-4241-BA70-39B8925D7647}">
      <dgm:prSet/>
      <dgm:spPr/>
      <dgm:t>
        <a:bodyPr/>
        <a:lstStyle/>
        <a:p>
          <a:endParaRPr lang="en-GB"/>
        </a:p>
      </dgm:t>
    </dgm:pt>
    <dgm:pt modelId="{9743C61A-C27A-4EF8-8580-27B3E091A628}" type="sibTrans" cxnId="{A5AF6AE8-1BC8-4241-BA70-39B8925D7647}">
      <dgm:prSet/>
      <dgm:spPr/>
      <dgm:t>
        <a:bodyPr/>
        <a:lstStyle/>
        <a:p>
          <a:endParaRPr lang="en-GB"/>
        </a:p>
      </dgm:t>
    </dgm:pt>
    <dgm:pt modelId="{B443900D-23E6-4381-9FAE-9C93F384F9CA}">
      <dgm:prSet phldrT="[Text]" custT="1"/>
      <dgm:spPr/>
      <dgm:t>
        <a:bodyPr/>
        <a:lstStyle/>
        <a:p>
          <a:r>
            <a:rPr lang="en-GB" sz="1000" b="1"/>
            <a:t>OLR Consultation</a:t>
          </a:r>
        </a:p>
      </dgm:t>
    </dgm:pt>
    <dgm:pt modelId="{EBF3EC25-0E94-46F8-9284-F48879681A65}" type="parTrans" cxnId="{425ADEFC-5301-43D3-B216-7745BE8AC869}">
      <dgm:prSet/>
      <dgm:spPr/>
      <dgm:t>
        <a:bodyPr/>
        <a:lstStyle/>
        <a:p>
          <a:endParaRPr lang="en-GB"/>
        </a:p>
      </dgm:t>
    </dgm:pt>
    <dgm:pt modelId="{04B23E1C-E6A4-4A40-B21C-981673E8E647}" type="sibTrans" cxnId="{425ADEFC-5301-43D3-B216-7745BE8AC869}">
      <dgm:prSet/>
      <dgm:spPr/>
      <dgm:t>
        <a:bodyPr/>
        <a:lstStyle/>
        <a:p>
          <a:endParaRPr lang="en-GB"/>
        </a:p>
      </dgm:t>
    </dgm:pt>
    <dgm:pt modelId="{8EB8DD60-B120-42D6-93A9-0BB62FE8A00A}">
      <dgm:prSet phldrT="[Text]" custT="1"/>
      <dgm:spPr/>
      <dgm:t>
        <a:bodyPr/>
        <a:lstStyle/>
        <a:p>
          <a:r>
            <a:rPr lang="en-GB" sz="1200">
              <a:solidFill>
                <a:schemeClr val="tx1"/>
              </a:solidFill>
            </a:rPr>
            <a:t>Consultation </a:t>
          </a:r>
          <a:r>
            <a:rPr lang="en-GB" sz="1200" u="none">
              <a:solidFill>
                <a:schemeClr val="tx1"/>
              </a:solidFill>
            </a:rPr>
            <a:t>published </a:t>
          </a:r>
          <a:r>
            <a:rPr lang="en-GB" sz="1200" u="none" baseline="0">
              <a:solidFill>
                <a:schemeClr val="tx1"/>
              </a:solidFill>
            </a:rPr>
            <a:t>Q1</a:t>
          </a:r>
          <a:r>
            <a:rPr lang="en-GB" sz="1200" u="none">
              <a:solidFill>
                <a:schemeClr val="tx1"/>
              </a:solidFill>
            </a:rPr>
            <a:t> 2014</a:t>
          </a:r>
        </a:p>
      </dgm:t>
    </dgm:pt>
    <dgm:pt modelId="{BBE7BDB6-2BF0-4B3A-B095-9E5329E0F63B}" type="parTrans" cxnId="{18893377-96A5-43F4-9D05-19D6712BEF6B}">
      <dgm:prSet/>
      <dgm:spPr/>
      <dgm:t>
        <a:bodyPr/>
        <a:lstStyle/>
        <a:p>
          <a:endParaRPr lang="en-GB"/>
        </a:p>
      </dgm:t>
    </dgm:pt>
    <dgm:pt modelId="{F7F3B2E2-A118-4836-AAB6-ACB5B3477450}" type="sibTrans" cxnId="{18893377-96A5-43F4-9D05-19D6712BEF6B}">
      <dgm:prSet/>
      <dgm:spPr/>
      <dgm:t>
        <a:bodyPr/>
        <a:lstStyle/>
        <a:p>
          <a:endParaRPr lang="en-GB"/>
        </a:p>
      </dgm:t>
    </dgm:pt>
    <dgm:pt modelId="{40A6F643-3015-4668-9678-59D86DB5A41B}">
      <dgm:prSet phldrT="[Text]" custT="1"/>
      <dgm:spPr/>
      <dgm:t>
        <a:bodyPr/>
        <a:lstStyle/>
        <a:p>
          <a:r>
            <a:rPr lang="en-GB" sz="1200" u="none">
              <a:solidFill>
                <a:schemeClr val="tx1"/>
              </a:solidFill>
            </a:rPr>
            <a:t>Government response to feedback Q2 </a:t>
          </a:r>
          <a:r>
            <a:rPr lang="en-GB" sz="1200">
              <a:solidFill>
                <a:schemeClr val="tx1"/>
              </a:solidFill>
            </a:rPr>
            <a:t>2014</a:t>
          </a:r>
        </a:p>
      </dgm:t>
    </dgm:pt>
    <dgm:pt modelId="{897626AF-DD98-46FD-B6BF-EEE04D889442}" type="parTrans" cxnId="{88245E95-CE31-4363-84E3-800DEE6D2A19}">
      <dgm:prSet/>
      <dgm:spPr/>
      <dgm:t>
        <a:bodyPr/>
        <a:lstStyle/>
        <a:p>
          <a:endParaRPr lang="en-GB"/>
        </a:p>
      </dgm:t>
    </dgm:pt>
    <dgm:pt modelId="{A1A5B1EA-7C08-4DB9-8683-A51BFEB09042}" type="sibTrans" cxnId="{88245E95-CE31-4363-84E3-800DEE6D2A19}">
      <dgm:prSet/>
      <dgm:spPr/>
      <dgm:t>
        <a:bodyPr/>
        <a:lstStyle/>
        <a:p>
          <a:endParaRPr lang="en-GB"/>
        </a:p>
      </dgm:t>
    </dgm:pt>
    <dgm:pt modelId="{5277C8B5-F528-4B50-80CC-E650EE9D61D9}">
      <dgm:prSet phldrT="[Text]" custT="1"/>
      <dgm:spPr/>
      <dgm:t>
        <a:bodyPr/>
        <a:lstStyle/>
        <a:p>
          <a:r>
            <a:rPr lang="en-GB" sz="1000" b="1"/>
            <a:t>Secondary Legislation</a:t>
          </a:r>
        </a:p>
      </dgm:t>
    </dgm:pt>
    <dgm:pt modelId="{7D40F58D-5CEA-4A90-AA1D-6CCC29AABEF6}" type="parTrans" cxnId="{F6105530-9468-462E-B46C-A0FD1F16DB5D}">
      <dgm:prSet/>
      <dgm:spPr/>
      <dgm:t>
        <a:bodyPr/>
        <a:lstStyle/>
        <a:p>
          <a:endParaRPr lang="en-GB"/>
        </a:p>
      </dgm:t>
    </dgm:pt>
    <dgm:pt modelId="{464C16E9-E5CF-4232-990B-613A044FB0A3}" type="sibTrans" cxnId="{F6105530-9468-462E-B46C-A0FD1F16DB5D}">
      <dgm:prSet/>
      <dgm:spPr/>
      <dgm:t>
        <a:bodyPr/>
        <a:lstStyle/>
        <a:p>
          <a:endParaRPr lang="en-GB"/>
        </a:p>
      </dgm:t>
    </dgm:pt>
    <dgm:pt modelId="{95C7223E-4B73-4029-979F-E39B23AFDB14}">
      <dgm:prSet phldrT="[Text]" custT="1"/>
      <dgm:spPr/>
      <dgm:t>
        <a:bodyPr/>
        <a:lstStyle/>
        <a:p>
          <a:r>
            <a:rPr lang="en-GB" sz="1200"/>
            <a:t>Consultation </a:t>
          </a:r>
          <a:r>
            <a:rPr lang="en-GB" sz="1200" u="none" baseline="0">
              <a:solidFill>
                <a:schemeClr val="tx1"/>
              </a:solidFill>
            </a:rPr>
            <a:t>published Q2 2014</a:t>
          </a:r>
        </a:p>
      </dgm:t>
    </dgm:pt>
    <dgm:pt modelId="{EAA1ED1C-6441-4F07-A1C2-461E59E6743A}" type="parTrans" cxnId="{CBFAACE6-2069-4DF9-AF93-F4B7EBDD150A}">
      <dgm:prSet/>
      <dgm:spPr/>
      <dgm:t>
        <a:bodyPr/>
        <a:lstStyle/>
        <a:p>
          <a:endParaRPr lang="en-GB"/>
        </a:p>
      </dgm:t>
    </dgm:pt>
    <dgm:pt modelId="{F646D0A7-E8BC-4621-B696-79DC3734E373}" type="sibTrans" cxnId="{CBFAACE6-2069-4DF9-AF93-F4B7EBDD150A}">
      <dgm:prSet/>
      <dgm:spPr/>
      <dgm:t>
        <a:bodyPr/>
        <a:lstStyle/>
        <a:p>
          <a:endParaRPr lang="en-GB"/>
        </a:p>
      </dgm:t>
    </dgm:pt>
    <dgm:pt modelId="{368EF7B9-0B9F-4E01-9236-6F4EFF499E22}">
      <dgm:prSet custT="1"/>
      <dgm:spPr/>
      <dgm:t>
        <a:bodyPr/>
        <a:lstStyle/>
        <a:p>
          <a:r>
            <a:rPr lang="en-GB" sz="1000" b="1"/>
            <a:t>Regulations Implemented </a:t>
          </a:r>
        </a:p>
      </dgm:t>
    </dgm:pt>
    <dgm:pt modelId="{86890B06-C17E-45B4-AEA6-915D00719C0B}" type="parTrans" cxnId="{02307639-478D-4E58-81EB-9D882ADF66DC}">
      <dgm:prSet/>
      <dgm:spPr/>
      <dgm:t>
        <a:bodyPr/>
        <a:lstStyle/>
        <a:p>
          <a:endParaRPr lang="en-GB"/>
        </a:p>
      </dgm:t>
    </dgm:pt>
    <dgm:pt modelId="{A65F3217-4E64-42D5-AC0F-C6C250C1E492}" type="sibTrans" cxnId="{02307639-478D-4E58-81EB-9D882ADF66DC}">
      <dgm:prSet/>
      <dgm:spPr/>
      <dgm:t>
        <a:bodyPr/>
        <a:lstStyle/>
        <a:p>
          <a:endParaRPr lang="en-GB"/>
        </a:p>
      </dgm:t>
    </dgm:pt>
    <dgm:pt modelId="{98F7797D-F28C-47AF-9280-657C57259074}">
      <dgm:prSet custT="1"/>
      <dgm:spPr/>
      <dgm:t>
        <a:bodyPr/>
        <a:lstStyle/>
        <a:p>
          <a:r>
            <a:rPr lang="en-GB" sz="1000" b="1"/>
            <a:t>Backstop PPAs available</a:t>
          </a:r>
        </a:p>
      </dgm:t>
    </dgm:pt>
    <dgm:pt modelId="{6F5388A8-30E9-458D-9C7F-BBCAA1ED95FB}" type="parTrans" cxnId="{0853CE1B-A67E-4089-8016-AB258B5A962A}">
      <dgm:prSet/>
      <dgm:spPr/>
      <dgm:t>
        <a:bodyPr/>
        <a:lstStyle/>
        <a:p>
          <a:endParaRPr lang="en-GB"/>
        </a:p>
      </dgm:t>
    </dgm:pt>
    <dgm:pt modelId="{70FFDE06-18BA-47B8-97D2-5D45DCD44486}" type="sibTrans" cxnId="{0853CE1B-A67E-4089-8016-AB258B5A962A}">
      <dgm:prSet/>
      <dgm:spPr/>
      <dgm:t>
        <a:bodyPr/>
        <a:lstStyle/>
        <a:p>
          <a:endParaRPr lang="en-GB"/>
        </a:p>
      </dgm:t>
    </dgm:pt>
    <dgm:pt modelId="{733CB151-7C11-497F-95F8-2D9C2DFB7E38}">
      <dgm:prSet custT="1"/>
      <dgm:spPr/>
      <dgm:t>
        <a:bodyPr/>
        <a:lstStyle/>
        <a:p>
          <a:r>
            <a:rPr lang="en-GB" sz="1200" u="none" baseline="0">
              <a:solidFill>
                <a:schemeClr val="tx1"/>
              </a:solidFill>
            </a:rPr>
            <a:t>Consultation period through until summer 2014</a:t>
          </a:r>
        </a:p>
      </dgm:t>
    </dgm:pt>
    <dgm:pt modelId="{E2970A08-E58F-44F5-9209-5F241941F04C}" type="parTrans" cxnId="{4749B294-B518-4972-8274-81C0AA9C18DB}">
      <dgm:prSet/>
      <dgm:spPr/>
      <dgm:t>
        <a:bodyPr/>
        <a:lstStyle/>
        <a:p>
          <a:endParaRPr lang="en-GB"/>
        </a:p>
      </dgm:t>
    </dgm:pt>
    <dgm:pt modelId="{69272A79-DB26-40A5-8F27-230E82B54DBF}" type="sibTrans" cxnId="{4749B294-B518-4972-8274-81C0AA9C18DB}">
      <dgm:prSet/>
      <dgm:spPr/>
      <dgm:t>
        <a:bodyPr/>
        <a:lstStyle/>
        <a:p>
          <a:endParaRPr lang="en-GB"/>
        </a:p>
      </dgm:t>
    </dgm:pt>
    <dgm:pt modelId="{B08CCCE2-F5DB-4EAB-805D-FE31BFC20AF1}">
      <dgm:prSet custT="1"/>
      <dgm:spPr/>
      <dgm:t>
        <a:bodyPr/>
        <a:lstStyle/>
        <a:p>
          <a:r>
            <a:rPr lang="en-GB" sz="1200"/>
            <a:t>Regulations into force around the time first CfDs are signed, autumn 2014.</a:t>
          </a:r>
        </a:p>
      </dgm:t>
    </dgm:pt>
    <dgm:pt modelId="{E89FB24B-75FF-4884-8E75-EB5A4348A59C}" type="parTrans" cxnId="{8D33D05E-344C-4CB4-910C-E710AD07FF1E}">
      <dgm:prSet/>
      <dgm:spPr/>
      <dgm:t>
        <a:bodyPr/>
        <a:lstStyle/>
        <a:p>
          <a:endParaRPr lang="en-GB"/>
        </a:p>
      </dgm:t>
    </dgm:pt>
    <dgm:pt modelId="{5DBE4BEE-6B53-4743-81B2-143E60A9B9C0}" type="sibTrans" cxnId="{8D33D05E-344C-4CB4-910C-E710AD07FF1E}">
      <dgm:prSet/>
      <dgm:spPr/>
      <dgm:t>
        <a:bodyPr/>
        <a:lstStyle/>
        <a:p>
          <a:endParaRPr lang="en-GB"/>
        </a:p>
      </dgm:t>
    </dgm:pt>
    <dgm:pt modelId="{6C36518F-7038-464A-8E09-5978AB3BF9AD}">
      <dgm:prSet custT="1"/>
      <dgm:spPr/>
      <dgm:t>
        <a:bodyPr/>
        <a:lstStyle/>
        <a:p>
          <a:r>
            <a:rPr lang="en-GB" sz="1200"/>
            <a:t>OLR systems developed, enabling generators to secure Backstop PPAs</a:t>
          </a:r>
        </a:p>
      </dgm:t>
    </dgm:pt>
    <dgm:pt modelId="{1AE122F7-048C-4316-A3A5-750DCE8674B0}" type="parTrans" cxnId="{AB33927A-2D50-40D9-B0B8-84CBE822BC21}">
      <dgm:prSet/>
      <dgm:spPr/>
      <dgm:t>
        <a:bodyPr/>
        <a:lstStyle/>
        <a:p>
          <a:endParaRPr lang="en-GB"/>
        </a:p>
      </dgm:t>
    </dgm:pt>
    <dgm:pt modelId="{F0BBFC2C-1900-48AA-B0E8-150E9A7555A9}" type="sibTrans" cxnId="{AB33927A-2D50-40D9-B0B8-84CBE822BC21}">
      <dgm:prSet/>
      <dgm:spPr/>
      <dgm:t>
        <a:bodyPr/>
        <a:lstStyle/>
        <a:p>
          <a:endParaRPr lang="en-GB"/>
        </a:p>
      </dgm:t>
    </dgm:pt>
    <dgm:pt modelId="{0F05937B-6487-49D6-A410-7B8C8F37155B}" type="pres">
      <dgm:prSet presAssocID="{1DF05E6F-F507-4857-B6F0-1ED77ECACAA4}" presName="linearFlow" presStyleCnt="0">
        <dgm:presLayoutVars>
          <dgm:dir/>
          <dgm:animLvl val="lvl"/>
          <dgm:resizeHandles val="exact"/>
        </dgm:presLayoutVars>
      </dgm:prSet>
      <dgm:spPr/>
      <dgm:t>
        <a:bodyPr/>
        <a:lstStyle/>
        <a:p>
          <a:endParaRPr lang="en-GB"/>
        </a:p>
      </dgm:t>
    </dgm:pt>
    <dgm:pt modelId="{2308344C-FF78-42B3-8053-B8DB9801E8DD}" type="pres">
      <dgm:prSet presAssocID="{758D9073-8793-4A04-90AE-00DE12B519B9}" presName="composite" presStyleCnt="0"/>
      <dgm:spPr/>
    </dgm:pt>
    <dgm:pt modelId="{DA7AFCBB-1E6B-4F72-9F8E-9D34911E6C5B}" type="pres">
      <dgm:prSet presAssocID="{758D9073-8793-4A04-90AE-00DE12B519B9}" presName="parentText" presStyleLbl="alignNode1" presStyleIdx="0" presStyleCnt="5" custScaleX="117052">
        <dgm:presLayoutVars>
          <dgm:chMax val="1"/>
          <dgm:bulletEnabled val="1"/>
        </dgm:presLayoutVars>
      </dgm:prSet>
      <dgm:spPr/>
      <dgm:t>
        <a:bodyPr/>
        <a:lstStyle/>
        <a:p>
          <a:endParaRPr lang="en-GB"/>
        </a:p>
      </dgm:t>
    </dgm:pt>
    <dgm:pt modelId="{6099653D-F141-4ABD-9B04-ED605CF59BF2}" type="pres">
      <dgm:prSet presAssocID="{758D9073-8793-4A04-90AE-00DE12B519B9}" presName="descendantText" presStyleLbl="alignAcc1" presStyleIdx="0" presStyleCnt="5" custScaleX="93793">
        <dgm:presLayoutVars>
          <dgm:bulletEnabled val="1"/>
        </dgm:presLayoutVars>
      </dgm:prSet>
      <dgm:spPr/>
      <dgm:t>
        <a:bodyPr/>
        <a:lstStyle/>
        <a:p>
          <a:endParaRPr lang="en-GB"/>
        </a:p>
      </dgm:t>
    </dgm:pt>
    <dgm:pt modelId="{532D4A0E-F07E-4401-930C-FDAFEEF56B8E}" type="pres">
      <dgm:prSet presAssocID="{87C1FC81-A641-4985-AF11-758945A0DF78}" presName="sp" presStyleCnt="0"/>
      <dgm:spPr/>
    </dgm:pt>
    <dgm:pt modelId="{D8885570-C719-47DA-92BA-D427C892407C}" type="pres">
      <dgm:prSet presAssocID="{B443900D-23E6-4381-9FAE-9C93F384F9CA}" presName="composite" presStyleCnt="0"/>
      <dgm:spPr/>
    </dgm:pt>
    <dgm:pt modelId="{BA0B51F1-E2EB-4297-A81B-6C77A5D7357E}" type="pres">
      <dgm:prSet presAssocID="{B443900D-23E6-4381-9FAE-9C93F384F9CA}" presName="parentText" presStyleLbl="alignNode1" presStyleIdx="1" presStyleCnt="5" custScaleX="117052">
        <dgm:presLayoutVars>
          <dgm:chMax val="1"/>
          <dgm:bulletEnabled val="1"/>
        </dgm:presLayoutVars>
      </dgm:prSet>
      <dgm:spPr/>
      <dgm:t>
        <a:bodyPr/>
        <a:lstStyle/>
        <a:p>
          <a:endParaRPr lang="en-GB"/>
        </a:p>
      </dgm:t>
    </dgm:pt>
    <dgm:pt modelId="{11E1400C-AEF4-4522-9A85-CC7270965EB8}" type="pres">
      <dgm:prSet presAssocID="{B443900D-23E6-4381-9FAE-9C93F384F9CA}" presName="descendantText" presStyleLbl="alignAcc1" presStyleIdx="1" presStyleCnt="5" custScaleX="93157">
        <dgm:presLayoutVars>
          <dgm:bulletEnabled val="1"/>
        </dgm:presLayoutVars>
      </dgm:prSet>
      <dgm:spPr/>
      <dgm:t>
        <a:bodyPr/>
        <a:lstStyle/>
        <a:p>
          <a:endParaRPr lang="en-GB"/>
        </a:p>
      </dgm:t>
    </dgm:pt>
    <dgm:pt modelId="{3A2F34A4-13EF-4BCE-B133-6B821331FD02}" type="pres">
      <dgm:prSet presAssocID="{04B23E1C-E6A4-4A40-B21C-981673E8E647}" presName="sp" presStyleCnt="0"/>
      <dgm:spPr/>
    </dgm:pt>
    <dgm:pt modelId="{1195981D-6B67-48CE-8C4B-9B72AD7793D8}" type="pres">
      <dgm:prSet presAssocID="{5277C8B5-F528-4B50-80CC-E650EE9D61D9}" presName="composite" presStyleCnt="0"/>
      <dgm:spPr/>
    </dgm:pt>
    <dgm:pt modelId="{6E397A49-2E2A-4068-B6C6-236325B41ACD}" type="pres">
      <dgm:prSet presAssocID="{5277C8B5-F528-4B50-80CC-E650EE9D61D9}" presName="parentText" presStyleLbl="alignNode1" presStyleIdx="2" presStyleCnt="5" custScaleX="117052">
        <dgm:presLayoutVars>
          <dgm:chMax val="1"/>
          <dgm:bulletEnabled val="1"/>
        </dgm:presLayoutVars>
      </dgm:prSet>
      <dgm:spPr/>
      <dgm:t>
        <a:bodyPr/>
        <a:lstStyle/>
        <a:p>
          <a:endParaRPr lang="en-GB"/>
        </a:p>
      </dgm:t>
    </dgm:pt>
    <dgm:pt modelId="{D47A8C57-2752-4C6E-BBFA-0920438F4C27}" type="pres">
      <dgm:prSet presAssocID="{5277C8B5-F528-4B50-80CC-E650EE9D61D9}" presName="descendantText" presStyleLbl="alignAcc1" presStyleIdx="2" presStyleCnt="5" custScaleX="93157">
        <dgm:presLayoutVars>
          <dgm:bulletEnabled val="1"/>
        </dgm:presLayoutVars>
      </dgm:prSet>
      <dgm:spPr/>
      <dgm:t>
        <a:bodyPr/>
        <a:lstStyle/>
        <a:p>
          <a:endParaRPr lang="en-GB"/>
        </a:p>
      </dgm:t>
    </dgm:pt>
    <dgm:pt modelId="{904E601A-57D1-4F1F-A9F8-2F1724A83554}" type="pres">
      <dgm:prSet presAssocID="{464C16E9-E5CF-4232-990B-613A044FB0A3}" presName="sp" presStyleCnt="0"/>
      <dgm:spPr/>
    </dgm:pt>
    <dgm:pt modelId="{72A207B5-BB93-4F78-AD1B-D846993AE3BF}" type="pres">
      <dgm:prSet presAssocID="{368EF7B9-0B9F-4E01-9236-6F4EFF499E22}" presName="composite" presStyleCnt="0"/>
      <dgm:spPr/>
    </dgm:pt>
    <dgm:pt modelId="{A5703ABC-1EC0-4E3E-82DD-35DC68A2FB42}" type="pres">
      <dgm:prSet presAssocID="{368EF7B9-0B9F-4E01-9236-6F4EFF499E22}" presName="parentText" presStyleLbl="alignNode1" presStyleIdx="3" presStyleCnt="5" custScaleX="117052">
        <dgm:presLayoutVars>
          <dgm:chMax val="1"/>
          <dgm:bulletEnabled val="1"/>
        </dgm:presLayoutVars>
      </dgm:prSet>
      <dgm:spPr/>
      <dgm:t>
        <a:bodyPr/>
        <a:lstStyle/>
        <a:p>
          <a:endParaRPr lang="en-GB"/>
        </a:p>
      </dgm:t>
    </dgm:pt>
    <dgm:pt modelId="{85C2B106-E183-40C9-84BA-1173E839909A}" type="pres">
      <dgm:prSet presAssocID="{368EF7B9-0B9F-4E01-9236-6F4EFF499E22}" presName="descendantText" presStyleLbl="alignAcc1" presStyleIdx="3" presStyleCnt="5" custScaleX="93157">
        <dgm:presLayoutVars>
          <dgm:bulletEnabled val="1"/>
        </dgm:presLayoutVars>
      </dgm:prSet>
      <dgm:spPr/>
      <dgm:t>
        <a:bodyPr/>
        <a:lstStyle/>
        <a:p>
          <a:endParaRPr lang="en-GB"/>
        </a:p>
      </dgm:t>
    </dgm:pt>
    <dgm:pt modelId="{FE305900-B8F6-4211-AE5E-195D83A82DAE}" type="pres">
      <dgm:prSet presAssocID="{A65F3217-4E64-42D5-AC0F-C6C250C1E492}" presName="sp" presStyleCnt="0"/>
      <dgm:spPr/>
    </dgm:pt>
    <dgm:pt modelId="{49AB79CF-E5DC-412F-8CD6-C6534095C20A}" type="pres">
      <dgm:prSet presAssocID="{98F7797D-F28C-47AF-9280-657C57259074}" presName="composite" presStyleCnt="0"/>
      <dgm:spPr/>
    </dgm:pt>
    <dgm:pt modelId="{8EC556A7-658D-4EF0-88D7-C286284D975B}" type="pres">
      <dgm:prSet presAssocID="{98F7797D-F28C-47AF-9280-657C57259074}" presName="parentText" presStyleLbl="alignNode1" presStyleIdx="4" presStyleCnt="5" custScaleX="117052">
        <dgm:presLayoutVars>
          <dgm:chMax val="1"/>
          <dgm:bulletEnabled val="1"/>
        </dgm:presLayoutVars>
      </dgm:prSet>
      <dgm:spPr/>
      <dgm:t>
        <a:bodyPr/>
        <a:lstStyle/>
        <a:p>
          <a:endParaRPr lang="en-GB"/>
        </a:p>
      </dgm:t>
    </dgm:pt>
    <dgm:pt modelId="{01A46C17-60D6-4D70-846A-0647BE30EDD9}" type="pres">
      <dgm:prSet presAssocID="{98F7797D-F28C-47AF-9280-657C57259074}" presName="descendantText" presStyleLbl="alignAcc1" presStyleIdx="4" presStyleCnt="5" custScaleX="93157" custLinFactNeighborX="-5" custLinFactNeighborY="6">
        <dgm:presLayoutVars>
          <dgm:bulletEnabled val="1"/>
        </dgm:presLayoutVars>
      </dgm:prSet>
      <dgm:spPr/>
      <dgm:t>
        <a:bodyPr/>
        <a:lstStyle/>
        <a:p>
          <a:endParaRPr lang="en-GB"/>
        </a:p>
      </dgm:t>
    </dgm:pt>
  </dgm:ptLst>
  <dgm:cxnLst>
    <dgm:cxn modelId="{BA21E23C-25A6-42D0-8C45-6DC8529E4517}" type="presOf" srcId="{8EB8DD60-B120-42D6-93A9-0BB62FE8A00A}" destId="{11E1400C-AEF4-4522-9A85-CC7270965EB8}" srcOrd="0" destOrd="0" presId="urn:microsoft.com/office/officeart/2005/8/layout/chevron2"/>
    <dgm:cxn modelId="{EC109D2A-66DD-4794-867A-3E4E0708818A}" srcId="{1DF05E6F-F507-4857-B6F0-1ED77ECACAA4}" destId="{758D9073-8793-4A04-90AE-00DE12B519B9}" srcOrd="0" destOrd="0" parTransId="{22661808-1689-48C8-B09A-A3BEE1170AE9}" sibTransId="{87C1FC81-A641-4985-AF11-758945A0DF78}"/>
    <dgm:cxn modelId="{32ED4FF4-E266-4720-890D-F3C66C832740}" type="presOf" srcId="{758D9073-8793-4A04-90AE-00DE12B519B9}" destId="{DA7AFCBB-1E6B-4F72-9F8E-9D34911E6C5B}" srcOrd="0" destOrd="0" presId="urn:microsoft.com/office/officeart/2005/8/layout/chevron2"/>
    <dgm:cxn modelId="{AAB180A1-1ADF-4A49-8C93-F67DCF6CD3EC}" type="presOf" srcId="{DC536151-A773-40D6-8A9B-F957D0AC5A38}" destId="{6099653D-F141-4ABD-9B04-ED605CF59BF2}" srcOrd="0" destOrd="1" presId="urn:microsoft.com/office/officeart/2005/8/layout/chevron2"/>
    <dgm:cxn modelId="{0853CE1B-A67E-4089-8016-AB258B5A962A}" srcId="{1DF05E6F-F507-4857-B6F0-1ED77ECACAA4}" destId="{98F7797D-F28C-47AF-9280-657C57259074}" srcOrd="4" destOrd="0" parTransId="{6F5388A8-30E9-458D-9C7F-BBCAA1ED95FB}" sibTransId="{70FFDE06-18BA-47B8-97D2-5D45DCD44486}"/>
    <dgm:cxn modelId="{20C73E50-CFBE-4B2D-A2F2-70A4F56270A8}" type="presOf" srcId="{5277C8B5-F528-4B50-80CC-E650EE9D61D9}" destId="{6E397A49-2E2A-4068-B6C6-236325B41ACD}" srcOrd="0" destOrd="0" presId="urn:microsoft.com/office/officeart/2005/8/layout/chevron2"/>
    <dgm:cxn modelId="{621A42DF-D912-4F3F-B883-5EB0191ABF74}" type="presOf" srcId="{B443900D-23E6-4381-9FAE-9C93F384F9CA}" destId="{BA0B51F1-E2EB-4297-A81B-6C77A5D7357E}" srcOrd="0" destOrd="0" presId="urn:microsoft.com/office/officeart/2005/8/layout/chevron2"/>
    <dgm:cxn modelId="{94F47E3C-3DB6-48A0-AC6F-9D80F5B99D59}" type="presOf" srcId="{B08CCCE2-F5DB-4EAB-805D-FE31BFC20AF1}" destId="{85C2B106-E183-40C9-84BA-1173E839909A}" srcOrd="0" destOrd="0" presId="urn:microsoft.com/office/officeart/2005/8/layout/chevron2"/>
    <dgm:cxn modelId="{BEC81781-E319-42E6-8C1F-99C40BD25AD6}" srcId="{758D9073-8793-4A04-90AE-00DE12B519B9}" destId="{32FEA0BE-7554-44E0-AC22-0C0BBF635515}" srcOrd="0" destOrd="0" parTransId="{2FA0BC25-B93E-4494-832E-931AB03E6E31}" sibTransId="{2FEEE0BF-DCE8-40B0-A9E8-7D76678AF633}"/>
    <dgm:cxn modelId="{D492175D-9AF0-48EA-87BB-C4173478845C}" type="presOf" srcId="{733CB151-7C11-497F-95F8-2D9C2DFB7E38}" destId="{D47A8C57-2752-4C6E-BBFA-0920438F4C27}" srcOrd="0" destOrd="1" presId="urn:microsoft.com/office/officeart/2005/8/layout/chevron2"/>
    <dgm:cxn modelId="{8D33D05E-344C-4CB4-910C-E710AD07FF1E}" srcId="{368EF7B9-0B9F-4E01-9236-6F4EFF499E22}" destId="{B08CCCE2-F5DB-4EAB-805D-FE31BFC20AF1}" srcOrd="0" destOrd="0" parTransId="{E89FB24B-75FF-4884-8E75-EB5A4348A59C}" sibTransId="{5DBE4BEE-6B53-4743-81B2-143E60A9B9C0}"/>
    <dgm:cxn modelId="{A5AF6AE8-1BC8-4241-BA70-39B8925D7647}" srcId="{758D9073-8793-4A04-90AE-00DE12B519B9}" destId="{DC536151-A773-40D6-8A9B-F957D0AC5A38}" srcOrd="1" destOrd="0" parTransId="{D8F1689E-8DBB-4BE9-93A7-D0FDC1CE3B4C}" sibTransId="{9743C61A-C27A-4EF8-8580-27B3E091A628}"/>
    <dgm:cxn modelId="{88245E95-CE31-4363-84E3-800DEE6D2A19}" srcId="{B443900D-23E6-4381-9FAE-9C93F384F9CA}" destId="{40A6F643-3015-4668-9678-59D86DB5A41B}" srcOrd="1" destOrd="0" parTransId="{897626AF-DD98-46FD-B6BF-EEE04D889442}" sibTransId="{A1A5B1EA-7C08-4DB9-8683-A51BFEB09042}"/>
    <dgm:cxn modelId="{7986FC28-6488-4BA5-8F2F-E987B0A566EB}" type="presOf" srcId="{32FEA0BE-7554-44E0-AC22-0C0BBF635515}" destId="{6099653D-F141-4ABD-9B04-ED605CF59BF2}" srcOrd="0" destOrd="0" presId="urn:microsoft.com/office/officeart/2005/8/layout/chevron2"/>
    <dgm:cxn modelId="{B3F40B6A-52ED-4211-8136-2484433AB7D4}" type="presOf" srcId="{95C7223E-4B73-4029-979F-E39B23AFDB14}" destId="{D47A8C57-2752-4C6E-BBFA-0920438F4C27}" srcOrd="0" destOrd="0" presId="urn:microsoft.com/office/officeart/2005/8/layout/chevron2"/>
    <dgm:cxn modelId="{9CAE22A5-4376-4CAA-B460-120D40BD1809}" type="presOf" srcId="{368EF7B9-0B9F-4E01-9236-6F4EFF499E22}" destId="{A5703ABC-1EC0-4E3E-82DD-35DC68A2FB42}" srcOrd="0" destOrd="0" presId="urn:microsoft.com/office/officeart/2005/8/layout/chevron2"/>
    <dgm:cxn modelId="{425ADEFC-5301-43D3-B216-7745BE8AC869}" srcId="{1DF05E6F-F507-4857-B6F0-1ED77ECACAA4}" destId="{B443900D-23E6-4381-9FAE-9C93F384F9CA}" srcOrd="1" destOrd="0" parTransId="{EBF3EC25-0E94-46F8-9284-F48879681A65}" sibTransId="{04B23E1C-E6A4-4A40-B21C-981673E8E647}"/>
    <dgm:cxn modelId="{CE9DF79E-0356-47DF-884E-F221234B2833}" type="presOf" srcId="{6C36518F-7038-464A-8E09-5978AB3BF9AD}" destId="{01A46C17-60D6-4D70-846A-0647BE30EDD9}" srcOrd="0" destOrd="0" presId="urn:microsoft.com/office/officeart/2005/8/layout/chevron2"/>
    <dgm:cxn modelId="{A2DF6111-B2A3-410E-A34E-76C063B3E274}" type="presOf" srcId="{40A6F643-3015-4668-9678-59D86DB5A41B}" destId="{11E1400C-AEF4-4522-9A85-CC7270965EB8}" srcOrd="0" destOrd="1" presId="urn:microsoft.com/office/officeart/2005/8/layout/chevron2"/>
    <dgm:cxn modelId="{F6105530-9468-462E-B46C-A0FD1F16DB5D}" srcId="{1DF05E6F-F507-4857-B6F0-1ED77ECACAA4}" destId="{5277C8B5-F528-4B50-80CC-E650EE9D61D9}" srcOrd="2" destOrd="0" parTransId="{7D40F58D-5CEA-4A90-AA1D-6CCC29AABEF6}" sibTransId="{464C16E9-E5CF-4232-990B-613A044FB0A3}"/>
    <dgm:cxn modelId="{F93DA422-52E0-4788-A4AA-AADAB6183870}" type="presOf" srcId="{98F7797D-F28C-47AF-9280-657C57259074}" destId="{8EC556A7-658D-4EF0-88D7-C286284D975B}" srcOrd="0" destOrd="0" presId="urn:microsoft.com/office/officeart/2005/8/layout/chevron2"/>
    <dgm:cxn modelId="{CBFAACE6-2069-4DF9-AF93-F4B7EBDD150A}" srcId="{5277C8B5-F528-4B50-80CC-E650EE9D61D9}" destId="{95C7223E-4B73-4029-979F-E39B23AFDB14}" srcOrd="0" destOrd="0" parTransId="{EAA1ED1C-6441-4F07-A1C2-461E59E6743A}" sibTransId="{F646D0A7-E8BC-4621-B696-79DC3734E373}"/>
    <dgm:cxn modelId="{68AB3BD2-1A4B-44BE-B61E-314727B41EE1}" type="presOf" srcId="{1DF05E6F-F507-4857-B6F0-1ED77ECACAA4}" destId="{0F05937B-6487-49D6-A410-7B8C8F37155B}" srcOrd="0" destOrd="0" presId="urn:microsoft.com/office/officeart/2005/8/layout/chevron2"/>
    <dgm:cxn modelId="{02307639-478D-4E58-81EB-9D882ADF66DC}" srcId="{1DF05E6F-F507-4857-B6F0-1ED77ECACAA4}" destId="{368EF7B9-0B9F-4E01-9236-6F4EFF499E22}" srcOrd="3" destOrd="0" parTransId="{86890B06-C17E-45B4-AEA6-915D00719C0B}" sibTransId="{A65F3217-4E64-42D5-AC0F-C6C250C1E492}"/>
    <dgm:cxn modelId="{18893377-96A5-43F4-9D05-19D6712BEF6B}" srcId="{B443900D-23E6-4381-9FAE-9C93F384F9CA}" destId="{8EB8DD60-B120-42D6-93A9-0BB62FE8A00A}" srcOrd="0" destOrd="0" parTransId="{BBE7BDB6-2BF0-4B3A-B095-9E5329E0F63B}" sibTransId="{F7F3B2E2-A118-4836-AAB6-ACB5B3477450}"/>
    <dgm:cxn modelId="{4749B294-B518-4972-8274-81C0AA9C18DB}" srcId="{5277C8B5-F528-4B50-80CC-E650EE9D61D9}" destId="{733CB151-7C11-497F-95F8-2D9C2DFB7E38}" srcOrd="1" destOrd="0" parTransId="{E2970A08-E58F-44F5-9209-5F241941F04C}" sibTransId="{69272A79-DB26-40A5-8F27-230E82B54DBF}"/>
    <dgm:cxn modelId="{AB33927A-2D50-40D9-B0B8-84CBE822BC21}" srcId="{98F7797D-F28C-47AF-9280-657C57259074}" destId="{6C36518F-7038-464A-8E09-5978AB3BF9AD}" srcOrd="0" destOrd="0" parTransId="{1AE122F7-048C-4316-A3A5-750DCE8674B0}" sibTransId="{F0BBFC2C-1900-48AA-B0E8-150E9A7555A9}"/>
    <dgm:cxn modelId="{C9BD0438-4085-4B0A-A9B6-1C8E32DDFD29}" type="presParOf" srcId="{0F05937B-6487-49D6-A410-7B8C8F37155B}" destId="{2308344C-FF78-42B3-8053-B8DB9801E8DD}" srcOrd="0" destOrd="0" presId="urn:microsoft.com/office/officeart/2005/8/layout/chevron2"/>
    <dgm:cxn modelId="{157E44F2-F759-41C8-8F07-05C44AC5C5D7}" type="presParOf" srcId="{2308344C-FF78-42B3-8053-B8DB9801E8DD}" destId="{DA7AFCBB-1E6B-4F72-9F8E-9D34911E6C5B}" srcOrd="0" destOrd="0" presId="urn:microsoft.com/office/officeart/2005/8/layout/chevron2"/>
    <dgm:cxn modelId="{102769AB-5A14-49AE-841D-F1232037AD24}" type="presParOf" srcId="{2308344C-FF78-42B3-8053-B8DB9801E8DD}" destId="{6099653D-F141-4ABD-9B04-ED605CF59BF2}" srcOrd="1" destOrd="0" presId="urn:microsoft.com/office/officeart/2005/8/layout/chevron2"/>
    <dgm:cxn modelId="{666DF6E3-04C0-4BAA-BA94-5A7BC06D3D89}" type="presParOf" srcId="{0F05937B-6487-49D6-A410-7B8C8F37155B}" destId="{532D4A0E-F07E-4401-930C-FDAFEEF56B8E}" srcOrd="1" destOrd="0" presId="urn:microsoft.com/office/officeart/2005/8/layout/chevron2"/>
    <dgm:cxn modelId="{07569D26-E646-43F3-9517-40F128E22DDD}" type="presParOf" srcId="{0F05937B-6487-49D6-A410-7B8C8F37155B}" destId="{D8885570-C719-47DA-92BA-D427C892407C}" srcOrd="2" destOrd="0" presId="urn:microsoft.com/office/officeart/2005/8/layout/chevron2"/>
    <dgm:cxn modelId="{6923823B-FC64-4636-98B4-C8FC33E66FC7}" type="presParOf" srcId="{D8885570-C719-47DA-92BA-D427C892407C}" destId="{BA0B51F1-E2EB-4297-A81B-6C77A5D7357E}" srcOrd="0" destOrd="0" presId="urn:microsoft.com/office/officeart/2005/8/layout/chevron2"/>
    <dgm:cxn modelId="{CDB6F11F-A8D7-45FC-926A-384889C79BF6}" type="presParOf" srcId="{D8885570-C719-47DA-92BA-D427C892407C}" destId="{11E1400C-AEF4-4522-9A85-CC7270965EB8}" srcOrd="1" destOrd="0" presId="urn:microsoft.com/office/officeart/2005/8/layout/chevron2"/>
    <dgm:cxn modelId="{7014762E-F951-43C7-887F-5BE77B3647EC}" type="presParOf" srcId="{0F05937B-6487-49D6-A410-7B8C8F37155B}" destId="{3A2F34A4-13EF-4BCE-B133-6B821331FD02}" srcOrd="3" destOrd="0" presId="urn:microsoft.com/office/officeart/2005/8/layout/chevron2"/>
    <dgm:cxn modelId="{73BBAF91-E4FD-4D29-921C-B0263D4556D2}" type="presParOf" srcId="{0F05937B-6487-49D6-A410-7B8C8F37155B}" destId="{1195981D-6B67-48CE-8C4B-9B72AD7793D8}" srcOrd="4" destOrd="0" presId="urn:microsoft.com/office/officeart/2005/8/layout/chevron2"/>
    <dgm:cxn modelId="{03654BA9-3CD8-42DE-80D1-6F1C5B97C79C}" type="presParOf" srcId="{1195981D-6B67-48CE-8C4B-9B72AD7793D8}" destId="{6E397A49-2E2A-4068-B6C6-236325B41ACD}" srcOrd="0" destOrd="0" presId="urn:microsoft.com/office/officeart/2005/8/layout/chevron2"/>
    <dgm:cxn modelId="{CF6AA9FC-D58D-4EF1-834F-BEDFC6BBAA20}" type="presParOf" srcId="{1195981D-6B67-48CE-8C4B-9B72AD7793D8}" destId="{D47A8C57-2752-4C6E-BBFA-0920438F4C27}" srcOrd="1" destOrd="0" presId="urn:microsoft.com/office/officeart/2005/8/layout/chevron2"/>
    <dgm:cxn modelId="{FFD43539-6E7E-41AA-B0FA-4CD8AAF52BDD}" type="presParOf" srcId="{0F05937B-6487-49D6-A410-7B8C8F37155B}" destId="{904E601A-57D1-4F1F-A9F8-2F1724A83554}" srcOrd="5" destOrd="0" presId="urn:microsoft.com/office/officeart/2005/8/layout/chevron2"/>
    <dgm:cxn modelId="{0088AFC2-B19B-441E-9A95-A2B791C1C3E6}" type="presParOf" srcId="{0F05937B-6487-49D6-A410-7B8C8F37155B}" destId="{72A207B5-BB93-4F78-AD1B-D846993AE3BF}" srcOrd="6" destOrd="0" presId="urn:microsoft.com/office/officeart/2005/8/layout/chevron2"/>
    <dgm:cxn modelId="{1BE87CA5-7950-4220-AEDE-00139589029C}" type="presParOf" srcId="{72A207B5-BB93-4F78-AD1B-D846993AE3BF}" destId="{A5703ABC-1EC0-4E3E-82DD-35DC68A2FB42}" srcOrd="0" destOrd="0" presId="urn:microsoft.com/office/officeart/2005/8/layout/chevron2"/>
    <dgm:cxn modelId="{652131AA-4637-4C7E-8AF9-F1392C17734E}" type="presParOf" srcId="{72A207B5-BB93-4F78-AD1B-D846993AE3BF}" destId="{85C2B106-E183-40C9-84BA-1173E839909A}" srcOrd="1" destOrd="0" presId="urn:microsoft.com/office/officeart/2005/8/layout/chevron2"/>
    <dgm:cxn modelId="{2278AEC3-528A-43A5-89D5-01FAC5897316}" type="presParOf" srcId="{0F05937B-6487-49D6-A410-7B8C8F37155B}" destId="{FE305900-B8F6-4211-AE5E-195D83A82DAE}" srcOrd="7" destOrd="0" presId="urn:microsoft.com/office/officeart/2005/8/layout/chevron2"/>
    <dgm:cxn modelId="{40E38970-6F01-4F6F-A90B-5FC3A390CE98}" type="presParOf" srcId="{0F05937B-6487-49D6-A410-7B8C8F37155B}" destId="{49AB79CF-E5DC-412F-8CD6-C6534095C20A}" srcOrd="8" destOrd="0" presId="urn:microsoft.com/office/officeart/2005/8/layout/chevron2"/>
    <dgm:cxn modelId="{044CD8FC-E08B-4FF3-BFFA-C29C1857A5C7}" type="presParOf" srcId="{49AB79CF-E5DC-412F-8CD6-C6534095C20A}" destId="{8EC556A7-658D-4EF0-88D7-C286284D975B}" srcOrd="0" destOrd="0" presId="urn:microsoft.com/office/officeart/2005/8/layout/chevron2"/>
    <dgm:cxn modelId="{AEDD465E-F993-4799-B828-66E74D0E63A3}" type="presParOf" srcId="{49AB79CF-E5DC-412F-8CD6-C6534095C20A}" destId="{01A46C17-60D6-4D70-846A-0647BE30EDD9}" srcOrd="1" destOrd="0" presId="urn:microsoft.com/office/officeart/2005/8/layout/chevron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7AFCBB-1E6B-4F72-9F8E-9D34911E6C5B}">
      <dsp:nvSpPr>
        <dsp:cNvPr id="0" name=""/>
        <dsp:cNvSpPr/>
      </dsp:nvSpPr>
      <dsp:spPr>
        <a:xfrm rot="5400000">
          <a:off x="-45812" y="94175"/>
          <a:ext cx="1000461" cy="819741"/>
        </a:xfrm>
        <a:prstGeom prst="chevron">
          <a:avLst/>
        </a:prstGeom>
        <a:solidFill>
          <a:schemeClr val="accent2">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GB" sz="1000" b="1" kern="1200"/>
            <a:t>Policy Development</a:t>
          </a:r>
        </a:p>
      </dsp:txBody>
      <dsp:txXfrm rot="-5400000">
        <a:off x="44549" y="413686"/>
        <a:ext cx="819741" cy="180720"/>
      </dsp:txXfrm>
    </dsp:sp>
    <dsp:sp modelId="{6099653D-F141-4ABD-9B04-ED605CF59BF2}">
      <dsp:nvSpPr>
        <dsp:cNvPr id="0" name=""/>
        <dsp:cNvSpPr/>
      </dsp:nvSpPr>
      <dsp:spPr>
        <a:xfrm rot="5400000">
          <a:off x="2876610" y="-1919411"/>
          <a:ext cx="650641" cy="4497095"/>
        </a:xfrm>
        <a:prstGeom prst="round2SameRect">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GB" sz="1200" kern="1200"/>
            <a:t>Policy design progressed with the Advisory Group</a:t>
          </a:r>
        </a:p>
        <a:p>
          <a:pPr marL="114300" lvl="1" indent="-114300" algn="l" defTabSz="533400">
            <a:lnSpc>
              <a:spcPct val="90000"/>
            </a:lnSpc>
            <a:spcBef>
              <a:spcPct val="0"/>
            </a:spcBef>
            <a:spcAft>
              <a:spcPct val="15000"/>
            </a:spcAft>
            <a:buChar char="••"/>
          </a:pPr>
          <a:r>
            <a:rPr lang="en-GB" sz="1200" kern="1200"/>
            <a:t>Proposed holistic design presented at stakeholder workshop</a:t>
          </a:r>
        </a:p>
      </dsp:txBody>
      <dsp:txXfrm rot="-5400000">
        <a:off x="953383" y="35578"/>
        <a:ext cx="4465333" cy="587117"/>
      </dsp:txXfrm>
    </dsp:sp>
    <dsp:sp modelId="{BA0B51F1-E2EB-4297-A81B-6C77A5D7357E}">
      <dsp:nvSpPr>
        <dsp:cNvPr id="0" name=""/>
        <dsp:cNvSpPr/>
      </dsp:nvSpPr>
      <dsp:spPr>
        <a:xfrm rot="5400000">
          <a:off x="-45812" y="976525"/>
          <a:ext cx="1000461" cy="819741"/>
        </a:xfrm>
        <a:prstGeom prst="chevron">
          <a:avLst/>
        </a:prstGeom>
        <a:solidFill>
          <a:schemeClr val="accent2">
            <a:hueOff val="1170380"/>
            <a:satOff val="-1460"/>
            <a:lumOff val="343"/>
            <a:alphaOff val="0"/>
          </a:schemeClr>
        </a:solidFill>
        <a:ln w="25400" cap="flat" cmpd="sng" algn="ctr">
          <a:solidFill>
            <a:schemeClr val="accent2">
              <a:hueOff val="1170380"/>
              <a:satOff val="-1460"/>
              <a:lumOff val="343"/>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GB" sz="1000" b="1" kern="1200"/>
            <a:t>OLR Consultation</a:t>
          </a:r>
        </a:p>
      </dsp:txBody>
      <dsp:txXfrm rot="-5400000">
        <a:off x="44549" y="1296036"/>
        <a:ext cx="819741" cy="180720"/>
      </dsp:txXfrm>
    </dsp:sp>
    <dsp:sp modelId="{11E1400C-AEF4-4522-9A85-CC7270965EB8}">
      <dsp:nvSpPr>
        <dsp:cNvPr id="0" name=""/>
        <dsp:cNvSpPr/>
      </dsp:nvSpPr>
      <dsp:spPr>
        <a:xfrm rot="5400000">
          <a:off x="2876781" y="-1021984"/>
          <a:ext cx="650299" cy="4466601"/>
        </a:xfrm>
        <a:prstGeom prst="round2SameRect">
          <a:avLst/>
        </a:prstGeom>
        <a:solidFill>
          <a:schemeClr val="lt1">
            <a:alpha val="90000"/>
            <a:hueOff val="0"/>
            <a:satOff val="0"/>
            <a:lumOff val="0"/>
            <a:alphaOff val="0"/>
          </a:schemeClr>
        </a:solidFill>
        <a:ln w="25400" cap="flat" cmpd="sng" algn="ctr">
          <a:solidFill>
            <a:schemeClr val="accent2">
              <a:hueOff val="1170380"/>
              <a:satOff val="-1460"/>
              <a:lumOff val="343"/>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GB" sz="1200" kern="1200">
              <a:solidFill>
                <a:schemeClr val="tx1"/>
              </a:solidFill>
            </a:rPr>
            <a:t>Consultation </a:t>
          </a:r>
          <a:r>
            <a:rPr lang="en-GB" sz="1200" u="none" kern="1200">
              <a:solidFill>
                <a:schemeClr val="tx1"/>
              </a:solidFill>
            </a:rPr>
            <a:t>published </a:t>
          </a:r>
          <a:r>
            <a:rPr lang="en-GB" sz="1200" u="none" kern="1200" baseline="0">
              <a:solidFill>
                <a:schemeClr val="tx1"/>
              </a:solidFill>
            </a:rPr>
            <a:t>Q1</a:t>
          </a:r>
          <a:r>
            <a:rPr lang="en-GB" sz="1200" u="none" kern="1200">
              <a:solidFill>
                <a:schemeClr val="tx1"/>
              </a:solidFill>
            </a:rPr>
            <a:t> 2014</a:t>
          </a:r>
        </a:p>
        <a:p>
          <a:pPr marL="114300" lvl="1" indent="-114300" algn="l" defTabSz="533400">
            <a:lnSpc>
              <a:spcPct val="90000"/>
            </a:lnSpc>
            <a:spcBef>
              <a:spcPct val="0"/>
            </a:spcBef>
            <a:spcAft>
              <a:spcPct val="15000"/>
            </a:spcAft>
            <a:buChar char="••"/>
          </a:pPr>
          <a:r>
            <a:rPr lang="en-GB" sz="1200" u="none" kern="1200">
              <a:solidFill>
                <a:schemeClr val="tx1"/>
              </a:solidFill>
            </a:rPr>
            <a:t>Government response to feedback Q2 </a:t>
          </a:r>
          <a:r>
            <a:rPr lang="en-GB" sz="1200" kern="1200">
              <a:solidFill>
                <a:schemeClr val="tx1"/>
              </a:solidFill>
            </a:rPr>
            <a:t>2014</a:t>
          </a:r>
        </a:p>
      </dsp:txBody>
      <dsp:txXfrm rot="-5400000">
        <a:off x="968631" y="917911"/>
        <a:ext cx="4434856" cy="586809"/>
      </dsp:txXfrm>
    </dsp:sp>
    <dsp:sp modelId="{6E397A49-2E2A-4068-B6C6-236325B41ACD}">
      <dsp:nvSpPr>
        <dsp:cNvPr id="0" name=""/>
        <dsp:cNvSpPr/>
      </dsp:nvSpPr>
      <dsp:spPr>
        <a:xfrm rot="5400000">
          <a:off x="-45812" y="1858876"/>
          <a:ext cx="1000461" cy="819741"/>
        </a:xfrm>
        <a:prstGeom prst="chevron">
          <a:avLst/>
        </a:prstGeom>
        <a:solidFill>
          <a:schemeClr val="accent2">
            <a:hueOff val="2340759"/>
            <a:satOff val="-2919"/>
            <a:lumOff val="686"/>
            <a:alphaOff val="0"/>
          </a:schemeClr>
        </a:solidFill>
        <a:ln w="25400" cap="flat" cmpd="sng" algn="ctr">
          <a:solidFill>
            <a:schemeClr val="accent2">
              <a:hueOff val="2340759"/>
              <a:satOff val="-2919"/>
              <a:lumOff val="686"/>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GB" sz="1000" b="1" kern="1200"/>
            <a:t>Secondary Legislation</a:t>
          </a:r>
        </a:p>
      </dsp:txBody>
      <dsp:txXfrm rot="-5400000">
        <a:off x="44549" y="2178387"/>
        <a:ext cx="819741" cy="180720"/>
      </dsp:txXfrm>
    </dsp:sp>
    <dsp:sp modelId="{D47A8C57-2752-4C6E-BBFA-0920438F4C27}">
      <dsp:nvSpPr>
        <dsp:cNvPr id="0" name=""/>
        <dsp:cNvSpPr/>
      </dsp:nvSpPr>
      <dsp:spPr>
        <a:xfrm rot="5400000">
          <a:off x="2876781" y="-139634"/>
          <a:ext cx="650299" cy="4466601"/>
        </a:xfrm>
        <a:prstGeom prst="round2SameRect">
          <a:avLst/>
        </a:prstGeom>
        <a:solidFill>
          <a:schemeClr val="lt1">
            <a:alpha val="90000"/>
            <a:hueOff val="0"/>
            <a:satOff val="0"/>
            <a:lumOff val="0"/>
            <a:alphaOff val="0"/>
          </a:schemeClr>
        </a:solidFill>
        <a:ln w="25400" cap="flat" cmpd="sng" algn="ctr">
          <a:solidFill>
            <a:schemeClr val="accent2">
              <a:hueOff val="2340759"/>
              <a:satOff val="-2919"/>
              <a:lumOff val="686"/>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GB" sz="1200" kern="1200"/>
            <a:t>Consultation </a:t>
          </a:r>
          <a:r>
            <a:rPr lang="en-GB" sz="1200" u="none" kern="1200" baseline="0">
              <a:solidFill>
                <a:schemeClr val="tx1"/>
              </a:solidFill>
            </a:rPr>
            <a:t>published Q2 2014</a:t>
          </a:r>
        </a:p>
        <a:p>
          <a:pPr marL="114300" lvl="1" indent="-114300" algn="l" defTabSz="533400">
            <a:lnSpc>
              <a:spcPct val="90000"/>
            </a:lnSpc>
            <a:spcBef>
              <a:spcPct val="0"/>
            </a:spcBef>
            <a:spcAft>
              <a:spcPct val="15000"/>
            </a:spcAft>
            <a:buChar char="••"/>
          </a:pPr>
          <a:r>
            <a:rPr lang="en-GB" sz="1200" u="none" kern="1200" baseline="0">
              <a:solidFill>
                <a:schemeClr val="tx1"/>
              </a:solidFill>
            </a:rPr>
            <a:t>Consultation period through until summer 2014</a:t>
          </a:r>
        </a:p>
      </dsp:txBody>
      <dsp:txXfrm rot="-5400000">
        <a:off x="968631" y="1800261"/>
        <a:ext cx="4434856" cy="586809"/>
      </dsp:txXfrm>
    </dsp:sp>
    <dsp:sp modelId="{A5703ABC-1EC0-4E3E-82DD-35DC68A2FB42}">
      <dsp:nvSpPr>
        <dsp:cNvPr id="0" name=""/>
        <dsp:cNvSpPr/>
      </dsp:nvSpPr>
      <dsp:spPr>
        <a:xfrm rot="5400000">
          <a:off x="-45812" y="2741226"/>
          <a:ext cx="1000461" cy="819741"/>
        </a:xfrm>
        <a:prstGeom prst="chevron">
          <a:avLst/>
        </a:prstGeom>
        <a:solidFill>
          <a:schemeClr val="accent2">
            <a:hueOff val="3511139"/>
            <a:satOff val="-4379"/>
            <a:lumOff val="1030"/>
            <a:alphaOff val="0"/>
          </a:schemeClr>
        </a:solidFill>
        <a:ln w="25400" cap="flat" cmpd="sng" algn="ctr">
          <a:solidFill>
            <a:schemeClr val="accent2">
              <a:hueOff val="3511139"/>
              <a:satOff val="-4379"/>
              <a:lumOff val="103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GB" sz="1000" b="1" kern="1200"/>
            <a:t>Regulations Implemented </a:t>
          </a:r>
        </a:p>
      </dsp:txBody>
      <dsp:txXfrm rot="-5400000">
        <a:off x="44549" y="3060737"/>
        <a:ext cx="819741" cy="180720"/>
      </dsp:txXfrm>
    </dsp:sp>
    <dsp:sp modelId="{85C2B106-E183-40C9-84BA-1173E839909A}">
      <dsp:nvSpPr>
        <dsp:cNvPr id="0" name=""/>
        <dsp:cNvSpPr/>
      </dsp:nvSpPr>
      <dsp:spPr>
        <a:xfrm rot="5400000">
          <a:off x="2876781" y="742715"/>
          <a:ext cx="650299" cy="4466601"/>
        </a:xfrm>
        <a:prstGeom prst="round2SameRect">
          <a:avLst/>
        </a:prstGeom>
        <a:solidFill>
          <a:schemeClr val="lt1">
            <a:alpha val="90000"/>
            <a:hueOff val="0"/>
            <a:satOff val="0"/>
            <a:lumOff val="0"/>
            <a:alphaOff val="0"/>
          </a:schemeClr>
        </a:solidFill>
        <a:ln w="25400" cap="flat" cmpd="sng" algn="ctr">
          <a:solidFill>
            <a:schemeClr val="accent2">
              <a:hueOff val="3511139"/>
              <a:satOff val="-4379"/>
              <a:lumOff val="103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GB" sz="1200" kern="1200"/>
            <a:t>Regulations into force around the time first CfDs are signed, autumn 2014.</a:t>
          </a:r>
        </a:p>
      </dsp:txBody>
      <dsp:txXfrm rot="-5400000">
        <a:off x="968631" y="2682611"/>
        <a:ext cx="4434856" cy="586809"/>
      </dsp:txXfrm>
    </dsp:sp>
    <dsp:sp modelId="{8EC556A7-658D-4EF0-88D7-C286284D975B}">
      <dsp:nvSpPr>
        <dsp:cNvPr id="0" name=""/>
        <dsp:cNvSpPr/>
      </dsp:nvSpPr>
      <dsp:spPr>
        <a:xfrm rot="5400000">
          <a:off x="-45812" y="3623576"/>
          <a:ext cx="1000461" cy="819741"/>
        </a:xfrm>
        <a:prstGeom prst="chevron">
          <a:avLst/>
        </a:prstGeom>
        <a:solidFill>
          <a:schemeClr val="accent2">
            <a:hueOff val="4681519"/>
            <a:satOff val="-5839"/>
            <a:lumOff val="1373"/>
            <a:alphaOff val="0"/>
          </a:schemeClr>
        </a:solidFill>
        <a:ln w="25400" cap="flat" cmpd="sng" algn="ctr">
          <a:solidFill>
            <a:schemeClr val="accent2">
              <a:hueOff val="4681519"/>
              <a:satOff val="-5839"/>
              <a:lumOff val="1373"/>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GB" sz="1000" b="1" kern="1200"/>
            <a:t>Backstop PPAs available</a:t>
          </a:r>
        </a:p>
      </dsp:txBody>
      <dsp:txXfrm rot="-5400000">
        <a:off x="44549" y="3943087"/>
        <a:ext cx="819741" cy="180720"/>
      </dsp:txXfrm>
    </dsp:sp>
    <dsp:sp modelId="{01A46C17-60D6-4D70-846A-0647BE30EDD9}">
      <dsp:nvSpPr>
        <dsp:cNvPr id="0" name=""/>
        <dsp:cNvSpPr/>
      </dsp:nvSpPr>
      <dsp:spPr>
        <a:xfrm rot="5400000">
          <a:off x="2876541" y="1625105"/>
          <a:ext cx="650299" cy="4466601"/>
        </a:xfrm>
        <a:prstGeom prst="round2SameRect">
          <a:avLst/>
        </a:prstGeom>
        <a:solidFill>
          <a:schemeClr val="lt1">
            <a:alpha val="90000"/>
            <a:hueOff val="0"/>
            <a:satOff val="0"/>
            <a:lumOff val="0"/>
            <a:alphaOff val="0"/>
          </a:schemeClr>
        </a:solidFill>
        <a:ln w="25400" cap="flat" cmpd="sng" algn="ctr">
          <a:solidFill>
            <a:schemeClr val="accent2">
              <a:hueOff val="4681519"/>
              <a:satOff val="-5839"/>
              <a:lumOff val="1373"/>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GB" sz="1200" kern="1200"/>
            <a:t>OLR systems developed, enabling generators to secure Backstop PPAs</a:t>
          </a:r>
        </a:p>
      </dsp:txBody>
      <dsp:txXfrm rot="-5400000">
        <a:off x="968391" y="3565001"/>
        <a:ext cx="4434856" cy="586809"/>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CB661-8D87-40B9-BB07-EA1BF3FCF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E4328B40</Template>
  <TotalTime>0</TotalTime>
  <Pages>5</Pages>
  <Words>1698</Words>
  <Characters>9681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DECC</Company>
  <LinksUpToDate>false</LinksUpToDate>
  <CharactersWithSpaces>11357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Harper Adam (Energy Markets and Networks)</dc:creator>
  <cp:lastModifiedBy>Crow Helena (Fuel Poverty &amp; Smart Meters)</cp:lastModifiedBy>
  <cp:revision>3</cp:revision>
  <cp:lastPrinted>2013-10-31T15:01:00Z</cp:lastPrinted>
  <dcterms:created xsi:type="dcterms:W3CDTF">2013-11-01T16:54:00Z</dcterms:created>
  <dcterms:modified xsi:type="dcterms:W3CDTF">2013-11-11T17:30:00Z</dcterms:modified>
</cp:coreProperties>
</file>